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237" w:rsidRPr="000E6FA4" w:rsidRDefault="00450237" w:rsidP="00450237">
      <w:pPr>
        <w:spacing w:line="240" w:lineRule="auto"/>
        <w:jc w:val="center"/>
        <w:rPr>
          <w:rFonts w:ascii="Times New Roman" w:hAnsi="Times New Roman" w:cs="Times New Roman"/>
          <w:b/>
          <w:sz w:val="24"/>
          <w:szCs w:val="24"/>
          <w:lang w:val="en-GB"/>
        </w:rPr>
      </w:pPr>
    </w:p>
    <w:p w:rsidR="00450237" w:rsidRPr="000E6FA4" w:rsidRDefault="00450237" w:rsidP="00450237">
      <w:pPr>
        <w:pStyle w:val="BodyText"/>
        <w:rPr>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BA4BE6" w:rsidP="00C7383E">
      <w:pPr>
        <w:spacing w:line="240" w:lineRule="auto"/>
        <w:jc w:val="both"/>
        <w:rPr>
          <w:rFonts w:ascii="Times New Roman" w:hAnsi="Times New Roman" w:cs="Times New Roman"/>
          <w:b/>
          <w:sz w:val="24"/>
          <w:szCs w:val="24"/>
          <w:lang w:val="en-GB"/>
        </w:rPr>
      </w:pPr>
      <w:r>
        <w:rPr>
          <w:noProof/>
          <w:lang w:val="en-GB"/>
        </w:rPr>
        <w:pict>
          <v:group id="Group 49" o:spid="_x0000_s1026" style="position:absolute;left:0;text-align:left;margin-left:14.85pt;margin-top:21.05pt;width:561.6pt;height:794.45pt;z-index:251659264;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" o:allowincell="f">
            <v:group id="Group 50"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51" o:spid="_x0000_s1028"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" fillcolor="#6ea0b0" strokecolor="#f2f2f2" strokeweight="3pt">
                <v:fill color2="#3c626e" focus="100%" type="gradient"/>
                <v:shadow on="t" color="#32515c" opacity=".5" offset="1pt"/>
              </v:rect>
              <v:rect id="Rectangle 52"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" fillcolor="#c4d9df" strokecolor="white" strokeweight="1pt">
                <v:fill color2="#c4d9df" focus="100%" type="gradient"/>
                <v:shadow color="#d8d8d8" offset="3pt,3pt"/>
                <v:textbox style="mso-next-textbox:#Rectangle 52" inset="18pt,108pt,36pt">
                  <w:txbxContent>
                    <w:p w:rsidR="00617275" w:rsidRDefault="00617275" w:rsidP="00450237">
                      <w:pPr>
                        <w:pStyle w:val="NoSpacing"/>
                        <w:rPr>
                          <w:rFonts w:ascii="Times New Roman" w:hAnsi="Times New Roman" w:cs="Times New Roman"/>
                          <w:b/>
                          <w:bCs/>
                          <w:color w:val="000000"/>
                          <w:sz w:val="48"/>
                          <w:szCs w:val="48"/>
                          <w:lang w:val="en-GB"/>
                        </w:rPr>
                      </w:pPr>
                      <w:r>
                        <w:rPr>
                          <w:rFonts w:ascii="Times New Roman" w:hAnsi="Times New Roman" w:cs="Times New Roman"/>
                          <w:b/>
                          <w:bCs/>
                          <w:color w:val="000000"/>
                          <w:sz w:val="48"/>
                          <w:szCs w:val="48"/>
                          <w:lang w:val="en-GB"/>
                        </w:rPr>
                        <w:t xml:space="preserve">Administration for the Prevention of Money Laundering </w:t>
                      </w:r>
                    </w:p>
                    <w:p w:rsidR="00617275" w:rsidRPr="000E6FA4" w:rsidRDefault="00617275" w:rsidP="00450237">
                      <w:pPr>
                        <w:pStyle w:val="NoSpacing"/>
                        <w:rPr>
                          <w:rFonts w:ascii="Times New Roman" w:hAnsi="Times New Roman" w:cs="Times New Roman"/>
                          <w:color w:val="000000"/>
                          <w:sz w:val="48"/>
                          <w:szCs w:val="48"/>
                        </w:rPr>
                      </w:pPr>
                      <w:r w:rsidRPr="000E6FA4">
                        <w:rPr>
                          <w:rFonts w:ascii="Times New Roman" w:hAnsi="Times New Roman" w:cs="Times New Roman"/>
                          <w:bCs/>
                          <w:color w:val="000000"/>
                          <w:sz w:val="48"/>
                          <w:szCs w:val="48"/>
                          <w:lang w:val="en-GB"/>
                        </w:rPr>
                        <w:t xml:space="preserve">2022 </w:t>
                      </w:r>
                      <w:r>
                        <w:rPr>
                          <w:rFonts w:ascii="Times New Roman" w:hAnsi="Times New Roman" w:cs="Times New Roman"/>
                          <w:bCs/>
                          <w:color w:val="000000"/>
                          <w:sz w:val="48"/>
                          <w:szCs w:val="48"/>
                          <w:lang w:val="en-GB"/>
                        </w:rPr>
                        <w:t>Annual</w:t>
                      </w:r>
                      <w:r w:rsidRPr="000E6FA4">
                        <w:rPr>
                          <w:rFonts w:ascii="Times New Roman" w:hAnsi="Times New Roman" w:cs="Times New Roman"/>
                          <w:bCs/>
                          <w:color w:val="000000"/>
                          <w:sz w:val="48"/>
                          <w:szCs w:val="48"/>
                          <w:lang w:val="en-GB"/>
                        </w:rPr>
                        <w:t xml:space="preserve"> Report</w:t>
                      </w:r>
                    </w:p>
                    <w:p w:rsidR="00617275" w:rsidRPr="00FE2923" w:rsidRDefault="00617275" w:rsidP="00450237">
                      <w:pPr>
                        <w:pStyle w:val="NoSpacing"/>
                        <w:rPr>
                          <w:color w:val="FFFFFF"/>
                        </w:rPr>
                      </w:pPr>
                    </w:p>
                    <w:p w:rsidR="00617275" w:rsidRPr="00FE2923" w:rsidRDefault="00617275" w:rsidP="00450237">
                      <w:pPr>
                        <w:pStyle w:val="NoSpacing"/>
                        <w:rPr>
                          <w:color w:val="FFFFFF"/>
                        </w:rPr>
                      </w:pPr>
                    </w:p>
                  </w:txbxContent>
                </v:textbox>
              </v:rect>
              <v:group id="Group 53" o:spid="_x0000_s1030"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4"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" fillcolor="#b6cfd7" strokecolor="white" strokeweight="1pt">
                  <v:fill opacity="52428f"/>
                  <v:shadow color="#d8d8d8" offset="3pt,3pt"/>
                </v:rect>
                <v:rect id="Rectangle 55"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" fillcolor="#b6cfd7" strokecolor="white" strokeweight="1pt">
                  <v:fill opacity="32896f"/>
                  <v:shadow color="#d8d8d8" offset="3pt,3pt"/>
                </v:rect>
                <v:rect id="Rectangle 56"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" fillcolor="#b6cfd7" strokecolor="white" strokeweight="1pt">
                  <v:fill opacity="52428f"/>
                  <v:shadow color="#d8d8d8" offset="3pt,3pt"/>
                </v:rect>
                <v:rect id="Rectangle 57"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" fillcolor="#b6cfd7" strokecolor="white" strokeweight="1pt">
                  <v:fill opacity="32896f"/>
                  <v:shadow color="#d8d8d8" offset="3pt,3pt"/>
                </v:rect>
                <v:rect id="Rectangle 58"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" fillcolor="#b6cfd7" strokecolor="white" strokeweight="1pt">
                  <v:fill opacity="32896f"/>
                  <v:shadow color="#d8d8d8" offset="3pt,3pt"/>
                </v:rect>
                <v:rect id="Rectangle 59"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" fillcolor="#b6cfd7" strokecolor="white" strokeweight="1pt">
                  <v:fill opacity="32896f"/>
                  <v:shadow color="#d8d8d8" offset="3pt,3pt"/>
                </v:rect>
              </v:group>
              <v:rect id="Rectangle 60"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" fillcolor="#ccaf0a" strokecolor="white" strokeweight="1pt">
                <v:shadow color="#d8d8d8" offset="3pt,3pt"/>
                <v:textbox style="mso-next-textbox:#Rectangle 60">
                  <w:txbxContent>
                    <w:p w:rsidR="00617275" w:rsidRPr="00FE2923" w:rsidRDefault="00617275" w:rsidP="00450237">
                      <w:pPr>
                        <w:rPr>
                          <w:color w:val="FFFFFF"/>
                          <w:sz w:val="48"/>
                          <w:szCs w:val="52"/>
                        </w:rPr>
                      </w:pPr>
                    </w:p>
                  </w:txbxContent>
                </v:textbox>
              </v:rect>
            </v:group>
            <v:group id="Group 61"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62"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">
                <v:rect id="Rectangle 63"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" fillcolor="#bfbfbf" strokecolor="white" strokeweight="1pt">
                  <v:fill opacity="32896f"/>
                  <v:shadow color="#d8d8d8" offset="3pt,3pt"/>
                </v:rect>
                <v:rect id="Rectangle 64"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" fillcolor="#ccaf0a" strokecolor="white" strokeweight="1pt">
                  <v:shadow color="#d8d8d8" offset="3pt,3pt"/>
                </v:rect>
                <v:rect id="Rectangle 65"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" fillcolor="#bfbfbf" strokecolor="white" strokeweight="1pt">
                  <v:fill opacity="32896f"/>
                  <v:shadow color="#d8d8d8" offset="3pt,3pt"/>
                </v:rect>
              </v:group>
              <v:rect id="Rectangle 66"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" filled="f" stroked="f" strokecolor="white" strokeweight="1pt">
                <v:fill opacity="52428f"/>
                <v:textbox style="mso-next-textbox:#Rectangle 66" inset=",0,,0">
                  <w:txbxContent>
                    <w:p w:rsidR="00617275" w:rsidRPr="0016199B" w:rsidRDefault="00617275" w:rsidP="00450237">
                      <w:pPr>
                        <w:pStyle w:val="NoSpacing"/>
                        <w:jc w:val="right"/>
                        <w:rPr>
                          <w:rFonts w:ascii="Times New Roman" w:hAnsi="Times New Roman" w:cs="Times New Roman"/>
                          <w:color w:val="000000"/>
                          <w:sz w:val="20"/>
                          <w:szCs w:val="24"/>
                        </w:rPr>
                      </w:pPr>
                      <w:r w:rsidRPr="0016199B">
                        <w:rPr>
                          <w:rFonts w:ascii="Times New Roman" w:hAnsi="Times New Roman" w:cs="Times New Roman"/>
                          <w:color w:val="000000"/>
                          <w:sz w:val="20"/>
                          <w:szCs w:val="24"/>
                          <w:lang w:val="en-GB"/>
                        </w:rPr>
                        <w:t>Belgrade, March 2023</w:t>
                      </w:r>
                    </w:p>
                    <w:p w:rsidR="00617275" w:rsidRPr="0016199B" w:rsidRDefault="00617275" w:rsidP="00450237">
                      <w:pPr>
                        <w:pStyle w:val="NoSpacing"/>
                        <w:jc w:val="right"/>
                        <w:rPr>
                          <w:rFonts w:ascii="Times New Roman" w:hAnsi="Times New Roman" w:cs="Times New Roman"/>
                          <w:color w:val="FFFFFF"/>
                          <w:sz w:val="20"/>
                          <w:szCs w:val="24"/>
                        </w:rPr>
                      </w:pPr>
                      <w:r w:rsidRPr="0016199B">
                        <w:rPr>
                          <w:rFonts w:ascii="Times New Roman" w:hAnsi="Times New Roman" w:cs="Times New Roman"/>
                          <w:color w:val="000000"/>
                          <w:sz w:val="20"/>
                          <w:szCs w:val="24"/>
                          <w:lang w:val="en-GB"/>
                        </w:rPr>
                        <w:t>Administration for the Prevention of Money Laundering</w:t>
                      </w:r>
                    </w:p>
                    <w:p w:rsidR="00617275" w:rsidRPr="0016199B" w:rsidRDefault="00617275" w:rsidP="00450237">
                      <w:pPr>
                        <w:pStyle w:val="NoSpacing"/>
                        <w:jc w:val="right"/>
                        <w:rPr>
                          <w:rFonts w:ascii="Times New Roman" w:hAnsi="Times New Roman" w:cs="Times New Roman"/>
                          <w:color w:val="FFFFFF"/>
                          <w:sz w:val="20"/>
                          <w:szCs w:val="24"/>
                        </w:rPr>
                      </w:pPr>
                      <w:r w:rsidRPr="0016199B">
                        <w:rPr>
                          <w:rFonts w:ascii="Times New Roman" w:hAnsi="Times New Roman" w:cs="Times New Roman"/>
                          <w:color w:val="000000"/>
                          <w:sz w:val="20"/>
                          <w:szCs w:val="24"/>
                          <w:lang w:val="en-GB"/>
                        </w:rPr>
                        <w:t xml:space="preserve">24 </w:t>
                      </w:r>
                      <w:proofErr w:type="spellStart"/>
                      <w:r w:rsidRPr="0016199B">
                        <w:rPr>
                          <w:rFonts w:ascii="Times New Roman" w:hAnsi="Times New Roman" w:cs="Times New Roman"/>
                          <w:color w:val="000000"/>
                          <w:sz w:val="20"/>
                          <w:szCs w:val="24"/>
                          <w:lang w:val="en-GB"/>
                        </w:rPr>
                        <w:t>Resavska</w:t>
                      </w:r>
                      <w:proofErr w:type="spellEnd"/>
                      <w:r w:rsidRPr="0016199B">
                        <w:rPr>
                          <w:rFonts w:ascii="Times New Roman" w:hAnsi="Times New Roman" w:cs="Times New Roman"/>
                          <w:color w:val="000000"/>
                          <w:sz w:val="20"/>
                          <w:szCs w:val="24"/>
                          <w:lang w:val="en-GB"/>
                        </w:rPr>
                        <w:t>, 11000 Belgrade</w:t>
                      </w:r>
                    </w:p>
                  </w:txbxContent>
                </v:textbox>
              </v:rect>
            </v:group>
            <w10:wrap anchorx="page" anchory="page"/>
          </v:group>
        </w:pict>
      </w: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p w:rsidR="00450237" w:rsidRPr="000E6FA4" w:rsidRDefault="00450237" w:rsidP="00C7383E">
      <w:pPr>
        <w:spacing w:line="240" w:lineRule="auto"/>
        <w:jc w:val="both"/>
        <w:rPr>
          <w:rFonts w:ascii="Times New Roman" w:hAnsi="Times New Roman" w:cs="Times New Roman"/>
          <w:b/>
          <w:sz w:val="24"/>
          <w:szCs w:val="24"/>
          <w:lang w:val="en-GB"/>
        </w:rPr>
      </w:pPr>
    </w:p>
    <w:sdt>
      <w:sdtPr>
        <w:rPr>
          <w:rFonts w:eastAsiaTheme="minorHAnsi"/>
          <w:sz w:val="20"/>
          <w:szCs w:val="20"/>
          <w:lang w:val="en-GB"/>
        </w:rPr>
        <w:id w:val="215016548"/>
        <w:docPartObj>
          <w:docPartGallery w:val="Table of Contents"/>
          <w:docPartUnique/>
        </w:docPartObj>
      </w:sdtPr>
      <w:sdtEndPr>
        <w:rPr>
          <w:bCs/>
          <w:noProof/>
        </w:rPr>
      </w:sdtEndPr>
      <w:sdtContent>
        <w:p w:rsidR="00450237" w:rsidRPr="00882988" w:rsidRDefault="00D743FD" w:rsidP="00882988">
          <w:pPr>
            <w:pStyle w:val="BodyText"/>
            <w:rPr>
              <w:b/>
              <w:sz w:val="20"/>
              <w:szCs w:val="20"/>
              <w:lang w:val="en-GB"/>
            </w:rPr>
          </w:pPr>
          <w:r w:rsidRPr="00882988">
            <w:rPr>
              <w:b/>
              <w:sz w:val="20"/>
              <w:szCs w:val="20"/>
              <w:lang w:val="en-GB"/>
            </w:rPr>
            <w:t>Contents</w:t>
          </w:r>
        </w:p>
        <w:p w:rsidR="00882988" w:rsidRPr="00882988" w:rsidRDefault="00D4230D" w:rsidP="00882988">
          <w:pPr>
            <w:pStyle w:val="TOC1"/>
            <w:tabs>
              <w:tab w:val="right" w:leader="dot" w:pos="9350"/>
            </w:tabs>
            <w:spacing w:after="0" w:line="240" w:lineRule="auto"/>
            <w:rPr>
              <w:rFonts w:ascii="Times New Roman" w:eastAsiaTheme="minorEastAsia" w:hAnsi="Times New Roman" w:cs="Times New Roman"/>
              <w:noProof/>
              <w:sz w:val="20"/>
              <w:szCs w:val="20"/>
            </w:rPr>
          </w:pPr>
          <w:r w:rsidRPr="00882988">
            <w:rPr>
              <w:rFonts w:ascii="Times New Roman" w:hAnsi="Times New Roman" w:cs="Times New Roman"/>
              <w:sz w:val="20"/>
              <w:szCs w:val="20"/>
              <w:lang w:val="en-GB"/>
            </w:rPr>
            <w:fldChar w:fldCharType="begin"/>
          </w:r>
          <w:r w:rsidRPr="00882988">
            <w:rPr>
              <w:rFonts w:ascii="Times New Roman" w:hAnsi="Times New Roman" w:cs="Times New Roman"/>
              <w:sz w:val="20"/>
              <w:szCs w:val="20"/>
              <w:lang w:val="en-GB"/>
            </w:rPr>
            <w:instrText xml:space="preserve"> TOC \o "1-3" \h \z \u </w:instrText>
          </w:r>
          <w:r w:rsidRPr="00882988">
            <w:rPr>
              <w:rFonts w:ascii="Times New Roman" w:hAnsi="Times New Roman" w:cs="Times New Roman"/>
              <w:sz w:val="20"/>
              <w:szCs w:val="20"/>
              <w:lang w:val="en-GB"/>
            </w:rPr>
            <w:fldChar w:fldCharType="separate"/>
          </w:r>
          <w:hyperlink w:anchor="_Toc179546452" w:history="1">
            <w:r w:rsidR="00882988" w:rsidRPr="00882988">
              <w:rPr>
                <w:rStyle w:val="Hyperlink"/>
                <w:rFonts w:ascii="Times New Roman" w:hAnsi="Times New Roman" w:cs="Times New Roman"/>
                <w:bCs/>
                <w:noProof/>
                <w:sz w:val="20"/>
                <w:szCs w:val="20"/>
                <w:lang w:val="en-GB"/>
              </w:rPr>
              <w:t>NATIONAL COORDINATION, RISK ASSESSMENT, AML/CFT STRATEGY</w:t>
            </w:r>
            <w:r w:rsidR="00882988" w:rsidRPr="00882988">
              <w:rPr>
                <w:rFonts w:ascii="Times New Roman" w:hAnsi="Times New Roman" w:cs="Times New Roman"/>
                <w:noProof/>
                <w:webHidden/>
                <w:sz w:val="20"/>
                <w:szCs w:val="20"/>
              </w:rPr>
              <w:tab/>
            </w:r>
            <w:r w:rsidR="00882988" w:rsidRPr="00882988">
              <w:rPr>
                <w:rFonts w:ascii="Times New Roman" w:hAnsi="Times New Roman" w:cs="Times New Roman"/>
                <w:noProof/>
                <w:webHidden/>
                <w:sz w:val="20"/>
                <w:szCs w:val="20"/>
              </w:rPr>
              <w:fldChar w:fldCharType="begin"/>
            </w:r>
            <w:r w:rsidR="00882988" w:rsidRPr="00882988">
              <w:rPr>
                <w:rFonts w:ascii="Times New Roman" w:hAnsi="Times New Roman" w:cs="Times New Roman"/>
                <w:noProof/>
                <w:webHidden/>
                <w:sz w:val="20"/>
                <w:szCs w:val="20"/>
              </w:rPr>
              <w:instrText xml:space="preserve"> PAGEREF _Toc179546452 \h </w:instrText>
            </w:r>
            <w:r w:rsidR="00882988" w:rsidRPr="00882988">
              <w:rPr>
                <w:rFonts w:ascii="Times New Roman" w:hAnsi="Times New Roman" w:cs="Times New Roman"/>
                <w:noProof/>
                <w:webHidden/>
                <w:sz w:val="20"/>
                <w:szCs w:val="20"/>
              </w:rPr>
            </w:r>
            <w:r w:rsidR="00882988" w:rsidRPr="00882988">
              <w:rPr>
                <w:rFonts w:ascii="Times New Roman" w:hAnsi="Times New Roman" w:cs="Times New Roman"/>
                <w:noProof/>
                <w:webHidden/>
                <w:sz w:val="20"/>
                <w:szCs w:val="20"/>
              </w:rPr>
              <w:fldChar w:fldCharType="separate"/>
            </w:r>
            <w:r w:rsidR="00882988" w:rsidRPr="00882988">
              <w:rPr>
                <w:rFonts w:ascii="Times New Roman" w:hAnsi="Times New Roman" w:cs="Times New Roman"/>
                <w:noProof/>
                <w:webHidden/>
                <w:sz w:val="20"/>
                <w:szCs w:val="20"/>
              </w:rPr>
              <w:t>3</w:t>
            </w:r>
            <w:r w:rsidR="00882988" w:rsidRPr="00882988">
              <w:rPr>
                <w:rFonts w:ascii="Times New Roman" w:hAnsi="Times New Roman" w:cs="Times New Roman"/>
                <w:noProof/>
                <w:webHidden/>
                <w:sz w:val="20"/>
                <w:szCs w:val="20"/>
              </w:rPr>
              <w:fldChar w:fldCharType="end"/>
            </w:r>
          </w:hyperlink>
        </w:p>
        <w:p w:rsidR="00882988" w:rsidRPr="00882988" w:rsidRDefault="00882988" w:rsidP="00882988">
          <w:pPr>
            <w:pStyle w:val="TOC1"/>
            <w:tabs>
              <w:tab w:val="right" w:leader="dot" w:pos="9350"/>
            </w:tabs>
            <w:spacing w:after="0" w:line="240" w:lineRule="auto"/>
            <w:rPr>
              <w:rFonts w:ascii="Times New Roman" w:eastAsiaTheme="minorEastAsia" w:hAnsi="Times New Roman" w:cs="Times New Roman"/>
              <w:noProof/>
              <w:sz w:val="20"/>
              <w:szCs w:val="20"/>
            </w:rPr>
          </w:pPr>
          <w:hyperlink w:anchor="_Toc179546453" w:history="1">
            <w:r w:rsidRPr="00882988">
              <w:rPr>
                <w:rStyle w:val="Hyperlink"/>
                <w:rFonts w:ascii="Times New Roman" w:hAnsi="Times New Roman" w:cs="Times New Roman"/>
                <w:bCs/>
                <w:noProof/>
                <w:sz w:val="20"/>
                <w:szCs w:val="20"/>
                <w:lang w:val="en-GB"/>
              </w:rPr>
              <w:t>LEGAL AFFAIRS AND HARMONISATION OF LEGISLATION WITH INTERNATIONAL STANDARDS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_Toc179546453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4</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54" w:history="1">
            <w:r w:rsidRPr="00882988">
              <w:rPr>
                <w:rStyle w:val="Hyperlink"/>
                <w:rFonts w:ascii="Times New Roman" w:eastAsia="Times New Roman" w:hAnsi="Times New Roman" w:cs="Times New Roman"/>
                <w:bCs/>
                <w:noProof/>
                <w:sz w:val="20"/>
                <w:szCs w:val="20"/>
                <w:lang w:val="en-GB"/>
              </w:rPr>
              <w:t>Law on the Prevention of Money Laundering and Terrorism Financing (AML/CFT Law)</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_Toc179546454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4</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55" w:history="1">
            <w:r w:rsidRPr="00882988">
              <w:rPr>
                <w:rStyle w:val="Hyperlink"/>
                <w:rFonts w:ascii="Times New Roman" w:eastAsia="Times New Roman" w:hAnsi="Times New Roman" w:cs="Times New Roman"/>
                <w:bCs/>
                <w:noProof/>
                <w:sz w:val="20"/>
                <w:szCs w:val="20"/>
                <w:lang w:val="en-GB"/>
              </w:rPr>
              <w:t>Law on the Freezing of Assets with the Aim of Preventing Terrorism and Proliferation of Weapons of Mass Destruction</w:t>
            </w:r>
            <w:r w:rsidRPr="00882988">
              <w:rPr>
                <w:rStyle w:val="Hyperlink"/>
                <w:rFonts w:ascii="Times New Roman" w:eastAsia="Times New Roman" w:hAnsi="Times New Roman" w:cs="Times New Roman"/>
                <w:noProof/>
                <w:sz w:val="20"/>
                <w:szCs w:val="20"/>
                <w:lang w:val="en-GB"/>
              </w:rPr>
              <w:t xml:space="preserve"> (LAF)</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_Toc179546455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4</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56" w:history="1">
            <w:r w:rsidRPr="00882988">
              <w:rPr>
                <w:rStyle w:val="Hyperlink"/>
                <w:rFonts w:ascii="Times New Roman" w:hAnsi="Times New Roman" w:cs="Times New Roman"/>
                <w:bCs/>
                <w:noProof/>
                <w:sz w:val="20"/>
                <w:szCs w:val="20"/>
                <w:lang w:val="en-GB"/>
              </w:rPr>
              <w:t>Designation and asset freezing</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_Toc179546456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5</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57" w:history="1">
            <w:r w:rsidRPr="00882988">
              <w:rPr>
                <w:rStyle w:val="Hyperlink"/>
                <w:rFonts w:ascii="Times New Roman" w:hAnsi="Times New Roman" w:cs="Times New Roman"/>
                <w:bCs/>
                <w:noProof/>
                <w:sz w:val="20"/>
                <w:szCs w:val="20"/>
                <w:lang w:val="en-GB"/>
              </w:rPr>
              <w:t>APML opinions concerning the application of the legislation whose formal proponent is the APML</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_Toc179546457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5</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58" w:history="1">
            <w:r w:rsidRPr="00882988">
              <w:rPr>
                <w:rStyle w:val="Hyperlink"/>
                <w:rFonts w:ascii="Times New Roman" w:hAnsi="Times New Roman" w:cs="Times New Roman"/>
                <w:bCs/>
                <w:noProof/>
                <w:sz w:val="20"/>
                <w:szCs w:val="20"/>
                <w:lang w:val="en-GB"/>
              </w:rPr>
              <w:t>Professional licencing examination for compliance officers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_Toc179546458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5</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1"/>
            <w:tabs>
              <w:tab w:val="right" w:leader="dot" w:pos="9350"/>
            </w:tabs>
            <w:spacing w:after="0" w:line="240" w:lineRule="auto"/>
            <w:rPr>
              <w:rFonts w:ascii="Times New Roman" w:eastAsiaTheme="minorEastAsia" w:hAnsi="Times New Roman" w:cs="Times New Roman"/>
              <w:noProof/>
              <w:sz w:val="20"/>
              <w:szCs w:val="20"/>
            </w:rPr>
          </w:pPr>
          <w:hyperlink w:anchor="_Toc179546459" w:history="1">
            <w:r w:rsidRPr="00882988">
              <w:rPr>
                <w:rStyle w:val="Hyperlink"/>
                <w:rFonts w:ascii="Times New Roman" w:hAnsi="Times New Roman" w:cs="Times New Roman"/>
                <w:bCs/>
                <w:noProof/>
                <w:sz w:val="20"/>
                <w:szCs w:val="20"/>
                <w:lang w:val="en-GB"/>
              </w:rPr>
              <w:t>INTERNATIONAL COOPERATION</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_Toc179546459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5</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60" w:history="1">
            <w:r w:rsidRPr="00882988">
              <w:rPr>
                <w:rStyle w:val="Hyperlink"/>
                <w:rFonts w:ascii="Times New Roman" w:hAnsi="Times New Roman" w:cs="Times New Roman"/>
                <w:bCs/>
                <w:noProof/>
                <w:sz w:val="20"/>
                <w:szCs w:val="20"/>
                <w:lang w:val="en-GB"/>
              </w:rPr>
              <w:t>Participation in MONEYVAL activities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_Toc179546460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5</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61" w:history="1">
            <w:r w:rsidRPr="00882988">
              <w:rPr>
                <w:rStyle w:val="Hyperlink"/>
                <w:rFonts w:ascii="Times New Roman" w:hAnsi="Times New Roman" w:cs="Times New Roman"/>
                <w:bCs/>
                <w:noProof/>
                <w:sz w:val="20"/>
                <w:szCs w:val="20"/>
                <w:lang w:val="en-GB"/>
              </w:rPr>
              <w:t>Activities related to Conference of the Parties to the Warsaw Convention</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_Toc179546461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6</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62" w:history="1">
            <w:r w:rsidRPr="00882988">
              <w:rPr>
                <w:rStyle w:val="Hyperlink"/>
                <w:rFonts w:ascii="Times New Roman" w:hAnsi="Times New Roman" w:cs="Times New Roman"/>
                <w:bCs/>
                <w:noProof/>
                <w:sz w:val="20"/>
                <w:szCs w:val="20"/>
                <w:lang w:val="en-GB"/>
              </w:rPr>
              <w:t>Egmont Group related activities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_Toc179546462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6</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63" w:history="1">
            <w:r w:rsidRPr="00882988">
              <w:rPr>
                <w:rStyle w:val="Hyperlink"/>
                <w:rFonts w:ascii="Times New Roman" w:hAnsi="Times New Roman" w:cs="Times New Roman"/>
                <w:bCs/>
                <w:noProof/>
                <w:sz w:val="20"/>
                <w:szCs w:val="20"/>
                <w:lang w:val="en-GB"/>
              </w:rPr>
              <w:t>Cooperation with the Eurasian Group (EAG)</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_Toc179546463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6</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64" w:history="1">
            <w:r w:rsidRPr="00882988">
              <w:rPr>
                <w:rStyle w:val="Hyperlink"/>
                <w:rFonts w:ascii="Times New Roman" w:hAnsi="Times New Roman" w:cs="Times New Roman"/>
                <w:bCs/>
                <w:noProof/>
                <w:sz w:val="20"/>
                <w:szCs w:val="20"/>
                <w:lang w:val="en-GB"/>
              </w:rPr>
              <w:t>Other International Cooperation</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_Toc179546464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6</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65" w:history="1">
            <w:r w:rsidRPr="00882988">
              <w:rPr>
                <w:rStyle w:val="Hyperlink"/>
                <w:rFonts w:ascii="Times New Roman" w:hAnsi="Times New Roman" w:cs="Times New Roman"/>
                <w:bCs/>
                <w:noProof/>
                <w:sz w:val="20"/>
                <w:szCs w:val="20"/>
                <w:lang w:val="en-GB"/>
              </w:rPr>
              <w:t>Strengthening bilateral cooperation with foreign FIUs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_Toc179546465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7</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66" w:history="1">
            <w:r w:rsidRPr="00882988">
              <w:rPr>
                <w:rStyle w:val="Hyperlink"/>
                <w:rFonts w:ascii="Times New Roman" w:hAnsi="Times New Roman" w:cs="Times New Roman"/>
                <w:bCs/>
                <w:noProof/>
                <w:sz w:val="20"/>
                <w:szCs w:val="20"/>
                <w:lang w:val="en-GB"/>
              </w:rPr>
              <w:t>APML role in the EU - Serbia negotiation process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_Toc179546466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7</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67" w:history="1">
            <w:r w:rsidRPr="00882988">
              <w:rPr>
                <w:rStyle w:val="Hyperlink"/>
                <w:rFonts w:ascii="Times New Roman" w:hAnsi="Times New Roman" w:cs="Times New Roman"/>
                <w:bCs/>
                <w:noProof/>
                <w:sz w:val="20"/>
                <w:szCs w:val="20"/>
                <w:lang w:val="en-GB"/>
              </w:rPr>
              <w:t xml:space="preserve">Technical review of EU </w:t>
            </w:r>
            <w:r w:rsidRPr="00882988">
              <w:rPr>
                <w:rStyle w:val="Hyperlink"/>
                <w:rFonts w:ascii="Times New Roman" w:hAnsi="Times New Roman" w:cs="Times New Roman"/>
                <w:bCs/>
                <w:i/>
                <w:iCs/>
                <w:noProof/>
                <w:sz w:val="20"/>
                <w:szCs w:val="20"/>
                <w:lang w:val="en-GB"/>
              </w:rPr>
              <w:t xml:space="preserve">acquis </w:t>
            </w:r>
            <w:r w:rsidRPr="00882988">
              <w:rPr>
                <w:rStyle w:val="Hyperlink"/>
                <w:rFonts w:ascii="Times New Roman" w:hAnsi="Times New Roman" w:cs="Times New Roman"/>
                <w:bCs/>
                <w:noProof/>
                <w:sz w:val="20"/>
                <w:szCs w:val="20"/>
                <w:lang w:val="en-GB"/>
              </w:rPr>
              <w:t>translation</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_Toc179546467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7</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1"/>
            <w:tabs>
              <w:tab w:val="right" w:leader="dot" w:pos="9350"/>
            </w:tabs>
            <w:spacing w:after="0" w:line="240" w:lineRule="auto"/>
            <w:rPr>
              <w:rFonts w:ascii="Times New Roman" w:eastAsiaTheme="minorEastAsia" w:hAnsi="Times New Roman" w:cs="Times New Roman"/>
              <w:noProof/>
              <w:sz w:val="20"/>
              <w:szCs w:val="20"/>
            </w:rPr>
          </w:pPr>
          <w:hyperlink w:anchor="_Toc179546468" w:history="1">
            <w:r w:rsidRPr="00882988">
              <w:rPr>
                <w:rStyle w:val="Hyperlink"/>
                <w:rFonts w:ascii="Times New Roman" w:hAnsi="Times New Roman" w:cs="Times New Roman"/>
                <w:bCs/>
                <w:noProof/>
                <w:sz w:val="20"/>
                <w:szCs w:val="20"/>
                <w:lang w:val="en-GB"/>
              </w:rPr>
              <w:t>FINANCIAL INTELLIGENCE - ANALYTICS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_Toc179546468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8</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69" w:history="1">
            <w:r w:rsidRPr="00882988">
              <w:rPr>
                <w:rStyle w:val="Hyperlink"/>
                <w:rFonts w:ascii="Times New Roman" w:hAnsi="Times New Roman" w:cs="Times New Roman"/>
                <w:bCs/>
                <w:noProof/>
                <w:sz w:val="20"/>
                <w:szCs w:val="20"/>
                <w:lang w:val="en-GB"/>
              </w:rPr>
              <w:t>INTERAGENCY COOPERATION</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_Toc179546469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8</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3"/>
            <w:tabs>
              <w:tab w:val="right" w:leader="dot" w:pos="9350"/>
            </w:tabs>
            <w:spacing w:after="0" w:line="240" w:lineRule="auto"/>
            <w:rPr>
              <w:rFonts w:ascii="Times New Roman" w:eastAsiaTheme="minorEastAsia" w:hAnsi="Times New Roman" w:cs="Times New Roman"/>
              <w:noProof/>
              <w:sz w:val="20"/>
              <w:szCs w:val="20"/>
            </w:rPr>
          </w:pPr>
          <w:hyperlink w:anchor="_Toc179546470" w:history="1">
            <w:r w:rsidRPr="00882988">
              <w:rPr>
                <w:rStyle w:val="Hyperlink"/>
                <w:rFonts w:ascii="Times New Roman" w:eastAsia="Calibri" w:hAnsi="Times New Roman" w:cs="Times New Roman"/>
                <w:bCs/>
                <w:noProof/>
                <w:sz w:val="20"/>
                <w:szCs w:val="20"/>
                <w:lang w:val="en-GB"/>
              </w:rPr>
              <w:t>Prosecutors’ offices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_Toc179546470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8</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3"/>
            <w:tabs>
              <w:tab w:val="right" w:leader="dot" w:pos="9350"/>
            </w:tabs>
            <w:spacing w:after="0" w:line="240" w:lineRule="auto"/>
            <w:rPr>
              <w:rFonts w:ascii="Times New Roman" w:eastAsiaTheme="minorEastAsia" w:hAnsi="Times New Roman" w:cs="Times New Roman"/>
              <w:noProof/>
              <w:sz w:val="20"/>
              <w:szCs w:val="20"/>
            </w:rPr>
          </w:pPr>
          <w:hyperlink w:anchor="_Toc179546471" w:history="1">
            <w:r w:rsidRPr="00882988">
              <w:rPr>
                <w:rStyle w:val="Hyperlink"/>
                <w:rFonts w:ascii="Times New Roman" w:eastAsia="Times New Roman" w:hAnsi="Times New Roman" w:cs="Times New Roman"/>
                <w:bCs/>
                <w:noProof/>
                <w:sz w:val="20"/>
                <w:szCs w:val="20"/>
                <w:lang w:val="en-GB"/>
              </w:rPr>
              <w:t>Ministry of the Interior</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_Toc179546471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9</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3"/>
            <w:tabs>
              <w:tab w:val="right" w:leader="dot" w:pos="9350"/>
            </w:tabs>
            <w:spacing w:after="0" w:line="240" w:lineRule="auto"/>
            <w:rPr>
              <w:rFonts w:ascii="Times New Roman" w:eastAsiaTheme="minorEastAsia" w:hAnsi="Times New Roman" w:cs="Times New Roman"/>
              <w:noProof/>
              <w:sz w:val="20"/>
              <w:szCs w:val="20"/>
            </w:rPr>
          </w:pPr>
          <w:hyperlink w:anchor="_Toc179546472" w:history="1">
            <w:r w:rsidRPr="00882988">
              <w:rPr>
                <w:rStyle w:val="Hyperlink"/>
                <w:rFonts w:ascii="Times New Roman" w:eastAsia="Times New Roman" w:hAnsi="Times New Roman" w:cs="Times New Roman"/>
                <w:bCs/>
                <w:noProof/>
                <w:sz w:val="20"/>
                <w:szCs w:val="20"/>
                <w:lang w:val="en-GB"/>
              </w:rPr>
              <w:t>Security Information Agency</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_Toc179546472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9</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3"/>
            <w:tabs>
              <w:tab w:val="right" w:leader="dot" w:pos="9350"/>
            </w:tabs>
            <w:spacing w:after="0" w:line="240" w:lineRule="auto"/>
            <w:rPr>
              <w:rFonts w:ascii="Times New Roman" w:eastAsiaTheme="minorEastAsia" w:hAnsi="Times New Roman" w:cs="Times New Roman"/>
              <w:noProof/>
              <w:sz w:val="20"/>
              <w:szCs w:val="20"/>
            </w:rPr>
          </w:pPr>
          <w:hyperlink w:anchor="_Toc179546473" w:history="1">
            <w:r w:rsidRPr="00882988">
              <w:rPr>
                <w:rStyle w:val="Hyperlink"/>
                <w:rFonts w:ascii="Times New Roman" w:eastAsia="Times New Roman" w:hAnsi="Times New Roman" w:cs="Times New Roman"/>
                <w:bCs/>
                <w:noProof/>
                <w:sz w:val="20"/>
                <w:szCs w:val="20"/>
                <w:lang w:val="en-GB"/>
              </w:rPr>
              <w:t>Tax Administration</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_Toc179546473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10</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3"/>
            <w:tabs>
              <w:tab w:val="right" w:leader="dot" w:pos="9350"/>
            </w:tabs>
            <w:spacing w:after="0" w:line="240" w:lineRule="auto"/>
            <w:rPr>
              <w:rFonts w:ascii="Times New Roman" w:eastAsiaTheme="minorEastAsia" w:hAnsi="Times New Roman" w:cs="Times New Roman"/>
              <w:noProof/>
              <w:sz w:val="20"/>
              <w:szCs w:val="20"/>
            </w:rPr>
          </w:pPr>
          <w:hyperlink w:anchor="_Toc179546474" w:history="1">
            <w:r w:rsidRPr="00882988">
              <w:rPr>
                <w:rStyle w:val="Hyperlink"/>
                <w:rFonts w:ascii="Times New Roman" w:eastAsia="Times New Roman" w:hAnsi="Times New Roman" w:cs="Times New Roman"/>
                <w:bCs/>
                <w:noProof/>
                <w:sz w:val="20"/>
                <w:szCs w:val="20"/>
                <w:lang w:val="en-GB"/>
              </w:rPr>
              <w:t>Agency for the Prevention of Corruption</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_Toc179546474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10</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3"/>
            <w:tabs>
              <w:tab w:val="right" w:leader="dot" w:pos="9350"/>
            </w:tabs>
            <w:spacing w:after="0" w:line="240" w:lineRule="auto"/>
            <w:rPr>
              <w:rFonts w:ascii="Times New Roman" w:eastAsiaTheme="minorEastAsia" w:hAnsi="Times New Roman" w:cs="Times New Roman"/>
              <w:noProof/>
              <w:sz w:val="20"/>
              <w:szCs w:val="20"/>
            </w:rPr>
          </w:pPr>
          <w:hyperlink w:anchor="_Toc179546475" w:history="1">
            <w:r w:rsidRPr="00882988">
              <w:rPr>
                <w:rStyle w:val="Hyperlink"/>
                <w:rFonts w:ascii="Times New Roman" w:eastAsia="Times New Roman" w:hAnsi="Times New Roman" w:cs="Times New Roman"/>
                <w:bCs/>
                <w:noProof/>
                <w:sz w:val="20"/>
                <w:szCs w:val="20"/>
                <w:lang w:val="en-GB"/>
              </w:rPr>
              <w:t>National Bank of Serbia</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_Toc179546475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10</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3"/>
            <w:tabs>
              <w:tab w:val="right" w:leader="dot" w:pos="9350"/>
            </w:tabs>
            <w:spacing w:after="0" w:line="240" w:lineRule="auto"/>
            <w:rPr>
              <w:rFonts w:ascii="Times New Roman" w:eastAsiaTheme="minorEastAsia" w:hAnsi="Times New Roman" w:cs="Times New Roman"/>
              <w:noProof/>
              <w:sz w:val="20"/>
              <w:szCs w:val="20"/>
            </w:rPr>
          </w:pPr>
          <w:hyperlink w:anchor="_Toc179546476" w:history="1">
            <w:r w:rsidRPr="00882988">
              <w:rPr>
                <w:rStyle w:val="Hyperlink"/>
                <w:rFonts w:ascii="Times New Roman" w:eastAsia="Calibri" w:hAnsi="Times New Roman" w:cs="Times New Roman"/>
                <w:bCs/>
                <w:noProof/>
                <w:sz w:val="20"/>
                <w:szCs w:val="20"/>
                <w:lang w:val="en-GB"/>
              </w:rPr>
              <w:t>Customs Administration</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_Toc179546476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10</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3"/>
            <w:tabs>
              <w:tab w:val="right" w:leader="dot" w:pos="9350"/>
            </w:tabs>
            <w:spacing w:after="0" w:line="240" w:lineRule="auto"/>
            <w:rPr>
              <w:rFonts w:ascii="Times New Roman" w:eastAsiaTheme="minorEastAsia" w:hAnsi="Times New Roman" w:cs="Times New Roman"/>
              <w:noProof/>
              <w:sz w:val="20"/>
              <w:szCs w:val="20"/>
            </w:rPr>
          </w:pPr>
          <w:hyperlink w:anchor="_Toc179546477" w:history="1">
            <w:r w:rsidRPr="00882988">
              <w:rPr>
                <w:rStyle w:val="Hyperlink"/>
                <w:rFonts w:ascii="Times New Roman" w:eastAsia="Calibri" w:hAnsi="Times New Roman" w:cs="Times New Roman"/>
                <w:bCs/>
                <w:noProof/>
                <w:sz w:val="20"/>
                <w:szCs w:val="20"/>
                <w:lang w:val="en-GB"/>
              </w:rPr>
              <w:t>Cooperation with foreign counterparts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_Toc179546477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10</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78" w:history="1">
            <w:r w:rsidRPr="00882988">
              <w:rPr>
                <w:rStyle w:val="Hyperlink"/>
                <w:rFonts w:ascii="Times New Roman" w:eastAsia="Calibri" w:hAnsi="Times New Roman" w:cs="Times New Roman"/>
                <w:bCs/>
                <w:noProof/>
                <w:sz w:val="20"/>
                <w:szCs w:val="20"/>
                <w:lang w:val="en-GB"/>
              </w:rPr>
              <w:t>ANALYSIS OF SUSPICIOUS TRANSACTIONS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_Toc179546478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11</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79" w:history="1">
            <w:r w:rsidRPr="00882988">
              <w:rPr>
                <w:rStyle w:val="Hyperlink"/>
                <w:rFonts w:ascii="Times New Roman" w:hAnsi="Times New Roman" w:cs="Times New Roman"/>
                <w:bCs/>
                <w:noProof/>
                <w:sz w:val="20"/>
                <w:szCs w:val="20"/>
                <w:lang w:val="en-GB"/>
              </w:rPr>
              <w:t>PREVENTION OF THE FINANCING OF TERRORISM</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_Toc179546479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12</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3"/>
            <w:tabs>
              <w:tab w:val="right" w:leader="dot" w:pos="9350"/>
            </w:tabs>
            <w:spacing w:after="0" w:line="240" w:lineRule="auto"/>
            <w:rPr>
              <w:rFonts w:ascii="Times New Roman" w:eastAsiaTheme="minorEastAsia" w:hAnsi="Times New Roman" w:cs="Times New Roman"/>
              <w:noProof/>
              <w:sz w:val="20"/>
              <w:szCs w:val="20"/>
            </w:rPr>
          </w:pPr>
          <w:hyperlink w:anchor="_Toc179546480" w:history="1">
            <w:r w:rsidRPr="00882988">
              <w:rPr>
                <w:rStyle w:val="Hyperlink"/>
                <w:rFonts w:ascii="Times New Roman" w:hAnsi="Times New Roman" w:cs="Times New Roman"/>
                <w:bCs/>
                <w:noProof/>
                <w:sz w:val="20"/>
                <w:szCs w:val="20"/>
                <w:lang w:val="en-GB"/>
              </w:rPr>
              <w:t>STRATEGIC ANALYSIS CONDUCTED BY THE SECTOR FOR ANALYSIS AND PREVENTION OF THE FINANCING OF TERRORISM</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_Toc179546480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13</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3"/>
            <w:tabs>
              <w:tab w:val="right" w:leader="dot" w:pos="9350"/>
            </w:tabs>
            <w:spacing w:after="0" w:line="240" w:lineRule="auto"/>
            <w:rPr>
              <w:rFonts w:ascii="Times New Roman" w:eastAsiaTheme="minorEastAsia" w:hAnsi="Times New Roman" w:cs="Times New Roman"/>
              <w:noProof/>
              <w:sz w:val="20"/>
              <w:szCs w:val="20"/>
            </w:rPr>
          </w:pPr>
          <w:hyperlink w:anchor="_Toc179546481" w:history="1">
            <w:r w:rsidRPr="00882988">
              <w:rPr>
                <w:rStyle w:val="Hyperlink"/>
                <w:rFonts w:ascii="Times New Roman" w:hAnsi="Times New Roman" w:cs="Times New Roman"/>
                <w:bCs/>
                <w:noProof/>
                <w:sz w:val="20"/>
                <w:szCs w:val="20"/>
                <w:lang w:val="en-GB"/>
              </w:rPr>
              <w:t>EFFECTIVENESS OF THE SECTOR FOR ANALYSIS IN AML SYSTEM</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_Toc179546481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13</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1"/>
            <w:tabs>
              <w:tab w:val="right" w:leader="dot" w:pos="9350"/>
            </w:tabs>
            <w:spacing w:after="0" w:line="240" w:lineRule="auto"/>
            <w:rPr>
              <w:rFonts w:ascii="Times New Roman" w:eastAsiaTheme="minorEastAsia" w:hAnsi="Times New Roman" w:cs="Times New Roman"/>
              <w:noProof/>
              <w:sz w:val="20"/>
              <w:szCs w:val="20"/>
            </w:rPr>
          </w:pPr>
          <w:hyperlink w:anchor="_Toc179546482" w:history="1">
            <w:r w:rsidRPr="00882988">
              <w:rPr>
                <w:rStyle w:val="Hyperlink"/>
                <w:rFonts w:ascii="Times New Roman" w:hAnsi="Times New Roman" w:cs="Times New Roman"/>
                <w:bCs/>
                <w:noProof/>
                <w:sz w:val="20"/>
                <w:szCs w:val="20"/>
                <w:lang w:val="en-GB"/>
              </w:rPr>
              <w:t>SUPERVISION OF COMPLIANCE WITH AML/CFT LAW AND LAF BY ACCOUNTANTS AND FACTORING FIRMS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_Toc179546482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14</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83" w:history="1">
            <w:r w:rsidRPr="00882988">
              <w:rPr>
                <w:rStyle w:val="Hyperlink"/>
                <w:rFonts w:ascii="Times New Roman" w:hAnsi="Times New Roman" w:cs="Times New Roman"/>
                <w:bCs/>
                <w:noProof/>
                <w:sz w:val="20"/>
                <w:szCs w:val="20"/>
                <w:lang w:val="en-GB"/>
              </w:rPr>
              <w:t>Offsite supervision</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_Toc179546483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15</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84" w:history="1">
            <w:r w:rsidRPr="00882988">
              <w:rPr>
                <w:rStyle w:val="Hyperlink"/>
                <w:rFonts w:ascii="Times New Roman" w:hAnsi="Times New Roman" w:cs="Times New Roman"/>
                <w:bCs/>
                <w:noProof/>
                <w:sz w:val="20"/>
                <w:szCs w:val="20"/>
                <w:lang w:val="en-GB"/>
              </w:rPr>
              <w:t>Onsite supervision</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_Toc179546484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15</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85" w:history="1">
            <w:r w:rsidRPr="00882988">
              <w:rPr>
                <w:rStyle w:val="Hyperlink"/>
                <w:rFonts w:ascii="Times New Roman" w:hAnsi="Times New Roman" w:cs="Times New Roman"/>
                <w:bCs/>
                <w:noProof/>
                <w:sz w:val="20"/>
                <w:szCs w:val="20"/>
                <w:lang w:val="en-GB"/>
              </w:rPr>
              <w:t>Court decisions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_Toc179546485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17</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1"/>
            <w:tabs>
              <w:tab w:val="right" w:leader="dot" w:pos="9350"/>
            </w:tabs>
            <w:spacing w:after="0" w:line="240" w:lineRule="auto"/>
            <w:rPr>
              <w:rFonts w:ascii="Times New Roman" w:eastAsiaTheme="minorEastAsia" w:hAnsi="Times New Roman" w:cs="Times New Roman"/>
              <w:noProof/>
              <w:sz w:val="20"/>
              <w:szCs w:val="20"/>
            </w:rPr>
          </w:pPr>
          <w:hyperlink w:anchor="_Toc179546486" w:history="1">
            <w:r w:rsidRPr="00882988">
              <w:rPr>
                <w:rStyle w:val="Hyperlink"/>
                <w:rFonts w:ascii="Times New Roman" w:hAnsi="Times New Roman" w:cs="Times New Roman"/>
                <w:bCs/>
                <w:noProof/>
                <w:sz w:val="20"/>
                <w:szCs w:val="20"/>
                <w:lang w:val="en-GB"/>
              </w:rPr>
              <w:t>IT SUPPORT TO FIU CORE FUNCTIONS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_Toc179546486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18</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1"/>
            <w:tabs>
              <w:tab w:val="right" w:leader="dot" w:pos="9350"/>
            </w:tabs>
            <w:spacing w:after="0" w:line="240" w:lineRule="auto"/>
            <w:rPr>
              <w:rFonts w:ascii="Times New Roman" w:eastAsiaTheme="minorEastAsia" w:hAnsi="Times New Roman" w:cs="Times New Roman"/>
              <w:noProof/>
              <w:sz w:val="20"/>
              <w:szCs w:val="20"/>
            </w:rPr>
          </w:pPr>
          <w:hyperlink w:anchor="_Toc179546487" w:history="1">
            <w:r w:rsidRPr="00882988">
              <w:rPr>
                <w:rStyle w:val="Hyperlink"/>
                <w:rFonts w:ascii="Times New Roman" w:hAnsi="Times New Roman" w:cs="Times New Roman"/>
                <w:bCs/>
                <w:noProof/>
                <w:sz w:val="20"/>
                <w:szCs w:val="20"/>
                <w:lang w:val="en-GB"/>
              </w:rPr>
              <w:t>FATCA</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_Toc179546487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19</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1"/>
            <w:tabs>
              <w:tab w:val="right" w:leader="dot" w:pos="9350"/>
            </w:tabs>
            <w:spacing w:after="0" w:line="240" w:lineRule="auto"/>
            <w:rPr>
              <w:rFonts w:ascii="Times New Roman" w:eastAsiaTheme="minorEastAsia" w:hAnsi="Times New Roman" w:cs="Times New Roman"/>
              <w:noProof/>
              <w:sz w:val="20"/>
              <w:szCs w:val="20"/>
            </w:rPr>
          </w:pPr>
          <w:hyperlink w:anchor="_Toc179546488" w:history="1">
            <w:r w:rsidRPr="00882988">
              <w:rPr>
                <w:rStyle w:val="Hyperlink"/>
                <w:rFonts w:ascii="Times New Roman" w:hAnsi="Times New Roman" w:cs="Times New Roman"/>
                <w:bCs/>
                <w:noProof/>
                <w:sz w:val="20"/>
                <w:szCs w:val="20"/>
                <w:lang w:val="en-GB"/>
              </w:rPr>
              <w:t>INTERNAL ORGANISATION AND HUMAN RESOURCES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_Toc179546488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19</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1"/>
            <w:tabs>
              <w:tab w:val="right" w:leader="dot" w:pos="9350"/>
            </w:tabs>
            <w:spacing w:after="0" w:line="240" w:lineRule="auto"/>
            <w:rPr>
              <w:rFonts w:ascii="Times New Roman" w:eastAsiaTheme="minorEastAsia" w:hAnsi="Times New Roman" w:cs="Times New Roman"/>
              <w:noProof/>
              <w:sz w:val="20"/>
              <w:szCs w:val="20"/>
            </w:rPr>
          </w:pPr>
          <w:hyperlink w:anchor="_Toc179546489" w:history="1">
            <w:r w:rsidRPr="00882988">
              <w:rPr>
                <w:rStyle w:val="Hyperlink"/>
                <w:rFonts w:ascii="Times New Roman" w:hAnsi="Times New Roman" w:cs="Times New Roman"/>
                <w:bCs/>
                <w:noProof/>
                <w:sz w:val="20"/>
                <w:szCs w:val="20"/>
                <w:lang w:val="en-GB"/>
              </w:rPr>
              <w:t>GENERAL, MATERIAL AND FINANCIAL OPERATIONS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_Toc179546489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20</w:t>
            </w:r>
            <w:r w:rsidRPr="00882988">
              <w:rPr>
                <w:rFonts w:ascii="Times New Roman" w:hAnsi="Times New Roman" w:cs="Times New Roman"/>
                <w:noProof/>
                <w:webHidden/>
                <w:sz w:val="20"/>
                <w:szCs w:val="20"/>
              </w:rPr>
              <w:fldChar w:fldCharType="end"/>
            </w:r>
          </w:hyperlink>
        </w:p>
        <w:p w:rsidR="00882988" w:rsidRPr="00882988" w:rsidRDefault="00882988" w:rsidP="00882988">
          <w:pPr>
            <w:pStyle w:val="TOC2"/>
            <w:tabs>
              <w:tab w:val="right" w:leader="dot" w:pos="9350"/>
            </w:tabs>
            <w:spacing w:after="0" w:line="240" w:lineRule="auto"/>
            <w:rPr>
              <w:rFonts w:ascii="Times New Roman" w:eastAsiaTheme="minorEastAsia" w:hAnsi="Times New Roman" w:cs="Times New Roman"/>
              <w:noProof/>
              <w:sz w:val="20"/>
              <w:szCs w:val="20"/>
            </w:rPr>
          </w:pPr>
          <w:hyperlink w:anchor="_Toc179546490" w:history="1">
            <w:r w:rsidRPr="00882988">
              <w:rPr>
                <w:rStyle w:val="Hyperlink"/>
                <w:rFonts w:ascii="Times New Roman" w:hAnsi="Times New Roman" w:cs="Times New Roman"/>
                <w:bCs/>
                <w:noProof/>
                <w:sz w:val="20"/>
                <w:szCs w:val="20"/>
                <w:lang w:val="en-GB"/>
              </w:rPr>
              <w:t xml:space="preserve">ANNEX 1: </w:t>
            </w:r>
            <w:r w:rsidRPr="00882988">
              <w:rPr>
                <w:rStyle w:val="Hyperlink"/>
                <w:rFonts w:ascii="Times New Roman" w:hAnsi="Times New Roman" w:cs="Times New Roman"/>
                <w:noProof/>
                <w:sz w:val="20"/>
                <w:szCs w:val="20"/>
                <w:lang w:val="en-GB"/>
              </w:rPr>
              <w:t xml:space="preserve"> </w:t>
            </w:r>
            <w:r w:rsidRPr="00882988">
              <w:rPr>
                <w:rStyle w:val="Hyperlink"/>
                <w:rFonts w:ascii="Times New Roman" w:hAnsi="Times New Roman" w:cs="Times New Roman"/>
                <w:bCs/>
                <w:noProof/>
                <w:sz w:val="20"/>
                <w:szCs w:val="20"/>
                <w:lang w:val="en-GB"/>
              </w:rPr>
              <w:t>TRAINING EVENTS ATTENDED BY APML STAFF (AUDIENCE AND/OR PRESENTERS)</w:t>
            </w:r>
            <w:r w:rsidRPr="00882988">
              <w:rPr>
                <w:rFonts w:ascii="Times New Roman" w:hAnsi="Times New Roman" w:cs="Times New Roman"/>
                <w:noProof/>
                <w:webHidden/>
                <w:sz w:val="20"/>
                <w:szCs w:val="20"/>
              </w:rPr>
              <w:tab/>
            </w:r>
            <w:r w:rsidRPr="00882988">
              <w:rPr>
                <w:rFonts w:ascii="Times New Roman" w:hAnsi="Times New Roman" w:cs="Times New Roman"/>
                <w:noProof/>
                <w:webHidden/>
                <w:sz w:val="20"/>
                <w:szCs w:val="20"/>
              </w:rPr>
              <w:fldChar w:fldCharType="begin"/>
            </w:r>
            <w:r w:rsidRPr="00882988">
              <w:rPr>
                <w:rFonts w:ascii="Times New Roman" w:hAnsi="Times New Roman" w:cs="Times New Roman"/>
                <w:noProof/>
                <w:webHidden/>
                <w:sz w:val="20"/>
                <w:szCs w:val="20"/>
              </w:rPr>
              <w:instrText xml:space="preserve"> PAGEREF _Toc179546490 \h </w:instrText>
            </w:r>
            <w:r w:rsidRPr="00882988">
              <w:rPr>
                <w:rFonts w:ascii="Times New Roman" w:hAnsi="Times New Roman" w:cs="Times New Roman"/>
                <w:noProof/>
                <w:webHidden/>
                <w:sz w:val="20"/>
                <w:szCs w:val="20"/>
              </w:rPr>
            </w:r>
            <w:r w:rsidRPr="00882988">
              <w:rPr>
                <w:rFonts w:ascii="Times New Roman" w:hAnsi="Times New Roman" w:cs="Times New Roman"/>
                <w:noProof/>
                <w:webHidden/>
                <w:sz w:val="20"/>
                <w:szCs w:val="20"/>
              </w:rPr>
              <w:fldChar w:fldCharType="separate"/>
            </w:r>
            <w:r w:rsidRPr="00882988">
              <w:rPr>
                <w:rFonts w:ascii="Times New Roman" w:hAnsi="Times New Roman" w:cs="Times New Roman"/>
                <w:noProof/>
                <w:webHidden/>
                <w:sz w:val="20"/>
                <w:szCs w:val="20"/>
              </w:rPr>
              <w:t>22</w:t>
            </w:r>
            <w:r w:rsidRPr="00882988">
              <w:rPr>
                <w:rFonts w:ascii="Times New Roman" w:hAnsi="Times New Roman" w:cs="Times New Roman"/>
                <w:noProof/>
                <w:webHidden/>
                <w:sz w:val="20"/>
                <w:szCs w:val="20"/>
              </w:rPr>
              <w:fldChar w:fldCharType="end"/>
            </w:r>
          </w:hyperlink>
        </w:p>
        <w:p w:rsidR="0057623F" w:rsidRPr="00882988" w:rsidRDefault="00D4230D" w:rsidP="00882988">
          <w:pPr>
            <w:spacing w:after="0" w:line="240" w:lineRule="auto"/>
            <w:ind w:right="270"/>
            <w:jc w:val="both"/>
            <w:rPr>
              <w:rFonts w:ascii="Times New Roman" w:hAnsi="Times New Roman" w:cs="Times New Roman"/>
              <w:sz w:val="20"/>
              <w:szCs w:val="20"/>
              <w:lang w:val="en-GB"/>
            </w:rPr>
          </w:pPr>
          <w:r w:rsidRPr="00882988">
            <w:rPr>
              <w:rFonts w:ascii="Times New Roman" w:hAnsi="Times New Roman" w:cs="Times New Roman"/>
              <w:b/>
              <w:bCs/>
              <w:noProof/>
              <w:sz w:val="20"/>
              <w:szCs w:val="20"/>
              <w:lang w:val="en-GB"/>
            </w:rPr>
            <w:fldChar w:fldCharType="end"/>
          </w:r>
        </w:p>
      </w:sdtContent>
    </w:sdt>
    <w:p w:rsidR="0057623F" w:rsidRPr="00882988" w:rsidRDefault="0057623F" w:rsidP="00882988">
      <w:pPr>
        <w:spacing w:after="0" w:line="240" w:lineRule="auto"/>
        <w:jc w:val="both"/>
        <w:rPr>
          <w:rFonts w:ascii="Times New Roman" w:hAnsi="Times New Roman" w:cs="Times New Roman"/>
          <w:b/>
          <w:sz w:val="20"/>
          <w:szCs w:val="20"/>
          <w:lang w:val="en-GB"/>
        </w:rPr>
      </w:pPr>
      <w:bookmarkStart w:id="0" w:name="_GoBack"/>
      <w:bookmarkEnd w:id="0"/>
    </w:p>
    <w:p w:rsidR="0029757B" w:rsidRPr="000E6FA4" w:rsidRDefault="00253BC9" w:rsidP="00D4230D">
      <w:pPr>
        <w:pStyle w:val="Heading1"/>
        <w:rPr>
          <w:lang w:val="en-GB"/>
        </w:rPr>
      </w:pPr>
      <w:bookmarkStart w:id="1" w:name="_Toc179546452"/>
      <w:r w:rsidRPr="000E6FA4">
        <w:rPr>
          <w:bCs/>
          <w:lang w:val="en-GB"/>
        </w:rPr>
        <w:lastRenderedPageBreak/>
        <w:t>NATIONAL COORDINATION, RISK ASSESSMENT, AML/CFT STRATEGY</w:t>
      </w:r>
      <w:bookmarkEnd w:id="1"/>
    </w:p>
    <w:p w:rsidR="00A36F74" w:rsidRPr="000E6FA4" w:rsidRDefault="00893791" w:rsidP="00C7383E">
      <w:pPr>
        <w:pStyle w:val="paragraph"/>
        <w:jc w:val="both"/>
        <w:textAlignment w:val="baseline"/>
        <w:rPr>
          <w:rStyle w:val="v2-clan-left-1"/>
          <w:lang w:val="en-GB"/>
        </w:rPr>
      </w:pPr>
      <w:r w:rsidRPr="000E6FA4">
        <w:rPr>
          <w:lang w:val="en-GB"/>
        </w:rPr>
        <w:t xml:space="preserve">The Administration for the Prevention of Money Laundering (APML) </w:t>
      </w:r>
      <w:r w:rsidR="000E6FA4">
        <w:rPr>
          <w:lang w:val="en-GB"/>
        </w:rPr>
        <w:t xml:space="preserve">staff participate in the work of </w:t>
      </w:r>
      <w:r w:rsidRPr="000E6FA4">
        <w:rPr>
          <w:lang w:val="en-GB"/>
        </w:rPr>
        <w:t>the Coordination Body for the Prevention of Money Laundering and the Financing of Terrorism (AML/CFT Coordination Body)</w:t>
      </w:r>
      <w:r w:rsidRPr="000E6FA4">
        <w:rPr>
          <w:rStyle w:val="FootnoteReference"/>
          <w:lang w:val="en-GB"/>
        </w:rPr>
        <w:footnoteReference w:id="1"/>
      </w:r>
      <w:r w:rsidRPr="000E6FA4">
        <w:rPr>
          <w:lang w:val="en-GB"/>
        </w:rPr>
        <w:t xml:space="preserve"> </w:t>
      </w:r>
      <w:r w:rsidR="000E6FA4">
        <w:rPr>
          <w:lang w:val="en-GB"/>
        </w:rPr>
        <w:t xml:space="preserve">as experts </w:t>
      </w:r>
      <w:r w:rsidRPr="000E6FA4">
        <w:rPr>
          <w:lang w:val="en-GB"/>
        </w:rPr>
        <w:t>and technical support.</w:t>
      </w:r>
      <w:r w:rsidRPr="000E6FA4">
        <w:rPr>
          <w:rStyle w:val="v2-clan-left-1"/>
          <w:lang w:val="en-GB"/>
        </w:rPr>
        <w:t xml:space="preserve"> </w:t>
      </w:r>
    </w:p>
    <w:p w:rsidR="00A36F74" w:rsidRPr="000E6FA4" w:rsidRDefault="00A36F74" w:rsidP="00C7383E">
      <w:pPr>
        <w:pStyle w:val="paragraph"/>
        <w:jc w:val="both"/>
        <w:textAlignment w:val="baseline"/>
        <w:rPr>
          <w:rStyle w:val="v2-clan-left-1"/>
          <w:lang w:val="en-GB"/>
        </w:rPr>
      </w:pPr>
      <w:r w:rsidRPr="000E6FA4">
        <w:rPr>
          <w:rStyle w:val="v2-clan-left-1"/>
          <w:lang w:val="en-GB"/>
        </w:rPr>
        <w:t>The tasks of the AML/CFT Body include</w:t>
      </w:r>
      <w:r w:rsidR="000E6FA4">
        <w:rPr>
          <w:rStyle w:val="v2-clan-left-1"/>
          <w:lang w:val="en-GB"/>
        </w:rPr>
        <w:t>, among other things,</w:t>
      </w:r>
      <w:r w:rsidRPr="000E6FA4">
        <w:rPr>
          <w:rStyle w:val="v2-clan-left-1"/>
          <w:lang w:val="en-GB"/>
        </w:rPr>
        <w:t xml:space="preserve"> ensuring that the national risk assessment (NRA) findings be taken into account when developing or </w:t>
      </w:r>
      <w:r w:rsidR="000E6FA4">
        <w:rPr>
          <w:rStyle w:val="v2-clan-left-1"/>
          <w:lang w:val="en-GB"/>
        </w:rPr>
        <w:t>updating the National Strategy a</w:t>
      </w:r>
      <w:r w:rsidRPr="000E6FA4">
        <w:rPr>
          <w:rStyle w:val="v2-clan-left-1"/>
          <w:lang w:val="en-GB"/>
        </w:rPr>
        <w:t xml:space="preserve">gainst Money Laundering and the Financing of Terrorism </w:t>
      </w:r>
      <w:r w:rsidR="000E6FA4" w:rsidRPr="000E6FA4">
        <w:rPr>
          <w:rStyle w:val="v2-clan-left-1"/>
          <w:lang w:val="en-GB"/>
        </w:rPr>
        <w:t>(AML/CFT Strategy)</w:t>
      </w:r>
      <w:r w:rsidR="000E6FA4">
        <w:rPr>
          <w:rStyle w:val="v2-clan-left-1"/>
          <w:lang w:val="en-GB"/>
        </w:rPr>
        <w:t xml:space="preserve"> </w:t>
      </w:r>
      <w:r w:rsidRPr="000E6FA4">
        <w:rPr>
          <w:rStyle w:val="v2-clan-left-1"/>
          <w:lang w:val="en-GB"/>
        </w:rPr>
        <w:t xml:space="preserve">and its Action Plan and regular monitoring </w:t>
      </w:r>
      <w:r w:rsidR="0016199B">
        <w:rPr>
          <w:rStyle w:val="v2-clan-left-1"/>
          <w:lang w:val="en-GB"/>
        </w:rPr>
        <w:t xml:space="preserve">and coordination </w:t>
      </w:r>
      <w:r w:rsidRPr="000E6FA4">
        <w:rPr>
          <w:rStyle w:val="v2-clan-left-1"/>
          <w:lang w:val="en-GB"/>
        </w:rPr>
        <w:t>of implementation of the AML/CFT Strategy.</w:t>
      </w:r>
    </w:p>
    <w:p w:rsidR="00A36F74" w:rsidRPr="000E6FA4" w:rsidRDefault="00A36F74" w:rsidP="00C7383E">
      <w:pPr>
        <w:pStyle w:val="paragraph"/>
        <w:jc w:val="both"/>
        <w:textAlignment w:val="baseline"/>
        <w:rPr>
          <w:rStyle w:val="v2-clan-left-1"/>
          <w:lang w:val="en-GB"/>
        </w:rPr>
      </w:pPr>
      <w:r w:rsidRPr="000E6FA4">
        <w:rPr>
          <w:rStyle w:val="v2-clan-left-1"/>
          <w:lang w:val="en-GB"/>
        </w:rPr>
        <w:t>In this regard, the work to develop a new</w:t>
      </w:r>
      <w:r w:rsidR="00111FCB">
        <w:rPr>
          <w:rStyle w:val="v2-clan-left-1"/>
          <w:lang w:val="en-GB"/>
        </w:rPr>
        <w:t xml:space="preserve"> (updated)</w:t>
      </w:r>
      <w:r w:rsidRPr="000E6FA4">
        <w:rPr>
          <w:rStyle w:val="v2-clan-left-1"/>
          <w:lang w:val="en-GB"/>
        </w:rPr>
        <w:t xml:space="preserve"> 2022-2024 Action </w:t>
      </w:r>
      <w:r w:rsidR="00111FCB">
        <w:rPr>
          <w:rStyle w:val="v2-clan-left-1"/>
          <w:lang w:val="en-GB"/>
        </w:rPr>
        <w:t>P</w:t>
      </w:r>
      <w:r w:rsidRPr="000E6FA4">
        <w:rPr>
          <w:rStyle w:val="v2-clan-left-1"/>
          <w:lang w:val="en-GB"/>
        </w:rPr>
        <w:t xml:space="preserve">lan for </w:t>
      </w:r>
      <w:r w:rsidR="00111FCB">
        <w:rPr>
          <w:rStyle w:val="v2-clan-left-1"/>
          <w:lang w:val="en-GB"/>
        </w:rPr>
        <w:t>I</w:t>
      </w:r>
      <w:r w:rsidRPr="000E6FA4">
        <w:rPr>
          <w:rStyle w:val="v2-clan-left-1"/>
          <w:lang w:val="en-GB"/>
        </w:rPr>
        <w:t>mp</w:t>
      </w:r>
      <w:r w:rsidR="00111FCB">
        <w:rPr>
          <w:rStyle w:val="v2-clan-left-1"/>
          <w:lang w:val="en-GB"/>
        </w:rPr>
        <w:t xml:space="preserve">lementing the AML/CFT Strategy </w:t>
      </w:r>
      <w:r w:rsidRPr="000E6FA4">
        <w:rPr>
          <w:rStyle w:val="v2-clan-left-1"/>
          <w:lang w:val="en-GB"/>
        </w:rPr>
        <w:t>(2022-2024 Action Plan)</w:t>
      </w:r>
      <w:r w:rsidRPr="000E6FA4">
        <w:rPr>
          <w:rStyle w:val="FootnoteReference"/>
          <w:lang w:val="en-GB"/>
        </w:rPr>
        <w:footnoteReference w:id="2"/>
      </w:r>
      <w:r w:rsidRPr="000E6FA4">
        <w:rPr>
          <w:rStyle w:val="v2-clan-left-1"/>
          <w:lang w:val="en-GB"/>
        </w:rPr>
        <w:t xml:space="preserve"> s</w:t>
      </w:r>
      <w:r w:rsidR="00111FCB">
        <w:rPr>
          <w:rStyle w:val="v2-clan-left-1"/>
          <w:lang w:val="en-GB"/>
        </w:rPr>
        <w:t xml:space="preserve">tarted in late 2021/early 2022. It was </w:t>
      </w:r>
      <w:r w:rsidRPr="000E6FA4">
        <w:rPr>
          <w:rStyle w:val="v2-clan-left-1"/>
          <w:lang w:val="en-GB"/>
        </w:rPr>
        <w:t>approved by the Serbian Government on 17 March 2022.</w:t>
      </w:r>
    </w:p>
    <w:p w:rsidR="003E4365" w:rsidRPr="000E6FA4" w:rsidRDefault="00111FCB" w:rsidP="00C7383E">
      <w:pPr>
        <w:pStyle w:val="paragraph"/>
        <w:jc w:val="both"/>
        <w:textAlignment w:val="baseline"/>
        <w:rPr>
          <w:lang w:val="en-GB"/>
        </w:rPr>
      </w:pPr>
      <w:r>
        <w:rPr>
          <w:lang w:val="en-GB"/>
        </w:rPr>
        <w:t xml:space="preserve">While </w:t>
      </w:r>
      <w:r w:rsidR="0016199B">
        <w:rPr>
          <w:lang w:val="en-GB"/>
        </w:rPr>
        <w:t xml:space="preserve">its </w:t>
      </w:r>
      <w:r w:rsidR="003E4365" w:rsidRPr="000E6FA4">
        <w:rPr>
          <w:lang w:val="en-GB"/>
        </w:rPr>
        <w:t xml:space="preserve">formal proponent </w:t>
      </w:r>
      <w:r>
        <w:rPr>
          <w:lang w:val="en-GB"/>
        </w:rPr>
        <w:t xml:space="preserve">was the Ministry of Finance, </w:t>
      </w:r>
      <w:r w:rsidR="0016199B" w:rsidRPr="000E6FA4">
        <w:rPr>
          <w:lang w:val="en-GB"/>
        </w:rPr>
        <w:t xml:space="preserve">the </w:t>
      </w:r>
      <w:r w:rsidR="0016199B">
        <w:rPr>
          <w:lang w:val="en-GB"/>
        </w:rPr>
        <w:t xml:space="preserve">2022-2024 </w:t>
      </w:r>
      <w:r w:rsidR="0016199B" w:rsidRPr="000E6FA4">
        <w:rPr>
          <w:lang w:val="en-GB"/>
        </w:rPr>
        <w:t>Action P</w:t>
      </w:r>
      <w:r w:rsidR="0016199B">
        <w:rPr>
          <w:lang w:val="en-GB"/>
        </w:rPr>
        <w:t xml:space="preserve">lan </w:t>
      </w:r>
      <w:r>
        <w:rPr>
          <w:lang w:val="en-GB"/>
        </w:rPr>
        <w:t xml:space="preserve">was developed </w:t>
      </w:r>
      <w:r w:rsidR="003E4365" w:rsidRPr="000E6FA4">
        <w:rPr>
          <w:lang w:val="en-GB"/>
        </w:rPr>
        <w:t xml:space="preserve">by a Working Group established by the Minister of Finance </w:t>
      </w:r>
      <w:r>
        <w:rPr>
          <w:lang w:val="en-GB"/>
        </w:rPr>
        <w:t xml:space="preserve">comprising a </w:t>
      </w:r>
      <w:r w:rsidR="003E4365" w:rsidRPr="000E6FA4">
        <w:rPr>
          <w:lang w:val="en-GB"/>
        </w:rPr>
        <w:t xml:space="preserve">WG Chair (APML Director) and 43 members representing 20 authorities and institutions. </w:t>
      </w:r>
    </w:p>
    <w:p w:rsidR="003E4365" w:rsidRPr="000E6FA4" w:rsidRDefault="003E4365" w:rsidP="00C7383E">
      <w:pPr>
        <w:pStyle w:val="paragraph"/>
        <w:jc w:val="both"/>
        <w:textAlignment w:val="baseline"/>
        <w:rPr>
          <w:lang w:val="en-GB"/>
        </w:rPr>
      </w:pPr>
      <w:r w:rsidRPr="000E6FA4">
        <w:rPr>
          <w:lang w:val="en-GB"/>
        </w:rPr>
        <w:t xml:space="preserve">The 2022-2024 Action Plan took into account the findings of the </w:t>
      </w:r>
      <w:r w:rsidR="00E50CA8">
        <w:rPr>
          <w:lang w:val="en-GB"/>
        </w:rPr>
        <w:t xml:space="preserve">most recent (2021) </w:t>
      </w:r>
      <w:r w:rsidRPr="000E6FA4">
        <w:rPr>
          <w:lang w:val="en-GB"/>
        </w:rPr>
        <w:t xml:space="preserve">National ML Risk Assessment, National TF Risk Assessment, National ML/TF Risk Assessment in the Digital Assets Sector, and National PWMDF Risk Assessment </w:t>
      </w:r>
      <w:r w:rsidR="00E50CA8">
        <w:rPr>
          <w:lang w:val="en-GB"/>
        </w:rPr>
        <w:t xml:space="preserve">that </w:t>
      </w:r>
      <w:r w:rsidRPr="000E6FA4">
        <w:rPr>
          <w:lang w:val="en-GB"/>
        </w:rPr>
        <w:t xml:space="preserve">were adopted by the Serbian Government on 30 September 2021. Account was </w:t>
      </w:r>
      <w:r w:rsidR="00E50CA8">
        <w:rPr>
          <w:lang w:val="en-GB"/>
        </w:rPr>
        <w:t xml:space="preserve">also </w:t>
      </w:r>
      <w:r w:rsidRPr="000E6FA4">
        <w:rPr>
          <w:lang w:val="en-GB"/>
        </w:rPr>
        <w:t>taken of the outstanding 2020-2022 Action Plan action items and MONEYVAL recommendations.</w:t>
      </w:r>
    </w:p>
    <w:p w:rsidR="003E4365" w:rsidRPr="000E6FA4" w:rsidRDefault="00893791" w:rsidP="00C7383E">
      <w:pPr>
        <w:pStyle w:val="paragraph"/>
        <w:jc w:val="both"/>
        <w:textAlignment w:val="baseline"/>
        <w:rPr>
          <w:lang w:val="en-GB"/>
        </w:rPr>
      </w:pPr>
      <w:r w:rsidRPr="000E6FA4">
        <w:rPr>
          <w:lang w:val="en-GB"/>
        </w:rPr>
        <w:t xml:space="preserve">In order to implement certain Action Plan items the Chair of the AML/CFT Coordination Body established 10 expert teams with tasks </w:t>
      </w:r>
      <w:r w:rsidR="00A17911">
        <w:rPr>
          <w:lang w:val="en-GB"/>
        </w:rPr>
        <w:t xml:space="preserve">clearly </w:t>
      </w:r>
      <w:r w:rsidRPr="000E6FA4">
        <w:rPr>
          <w:lang w:val="en-GB"/>
        </w:rPr>
        <w:t>set out in the 2022-2024 Action Plan. Each of the expert teams have their chair (coordinator) and members representing various ins</w:t>
      </w:r>
      <w:r w:rsidR="00F5591E">
        <w:rPr>
          <w:lang w:val="en-GB"/>
        </w:rPr>
        <w:t>titutions, including the APML.</w:t>
      </w:r>
    </w:p>
    <w:p w:rsidR="000B0A0A" w:rsidRPr="000E6FA4" w:rsidRDefault="00893791" w:rsidP="00C7383E">
      <w:pPr>
        <w:pStyle w:val="paragraph"/>
        <w:jc w:val="both"/>
        <w:textAlignment w:val="baseline"/>
        <w:rPr>
          <w:lang w:val="en-GB"/>
        </w:rPr>
      </w:pPr>
      <w:r w:rsidRPr="000E6FA4">
        <w:rPr>
          <w:lang w:val="en-GB"/>
        </w:rPr>
        <w:t>Two expert teams completed their tasks.</w:t>
      </w:r>
      <w:r w:rsidR="00F5591E">
        <w:rPr>
          <w:lang w:val="en-GB"/>
        </w:rPr>
        <w:t xml:space="preserve"> </w:t>
      </w:r>
      <w:r w:rsidRPr="000E6FA4">
        <w:rPr>
          <w:lang w:val="en-GB"/>
        </w:rPr>
        <w:t xml:space="preserve">These are the </w:t>
      </w:r>
      <w:r w:rsidRPr="00F5591E">
        <w:rPr>
          <w:i/>
          <w:lang w:val="en-GB"/>
        </w:rPr>
        <w:t>Expert team for analysing the legal framework governing the physical transportation of BNIs</w:t>
      </w:r>
      <w:r w:rsidRPr="000E6FA4">
        <w:rPr>
          <w:lang w:val="en-GB"/>
        </w:rPr>
        <w:t xml:space="preserve"> and </w:t>
      </w:r>
      <w:r w:rsidRPr="00F5591E">
        <w:rPr>
          <w:i/>
          <w:lang w:val="en-GB"/>
        </w:rPr>
        <w:t xml:space="preserve">Expert team for developing new or updating current </w:t>
      </w:r>
      <w:r w:rsidR="00F5591E" w:rsidRPr="00F5591E">
        <w:rPr>
          <w:i/>
          <w:lang w:val="en-GB"/>
        </w:rPr>
        <w:t>Guidelines</w:t>
      </w:r>
      <w:r w:rsidRPr="00F5591E">
        <w:rPr>
          <w:i/>
          <w:lang w:val="en-GB"/>
        </w:rPr>
        <w:t xml:space="preserve"> for filing SARs to the APML</w:t>
      </w:r>
      <w:r w:rsidRPr="000E6FA4">
        <w:rPr>
          <w:lang w:val="en-GB"/>
        </w:rPr>
        <w:t xml:space="preserve">. </w:t>
      </w:r>
    </w:p>
    <w:p w:rsidR="00893791" w:rsidRPr="000E6FA4" w:rsidRDefault="00893791" w:rsidP="00C7383E">
      <w:pPr>
        <w:pStyle w:val="paragraph"/>
        <w:jc w:val="both"/>
        <w:textAlignment w:val="baseline"/>
        <w:rPr>
          <w:lang w:val="en-GB"/>
        </w:rPr>
      </w:pPr>
      <w:r w:rsidRPr="000E6FA4">
        <w:rPr>
          <w:lang w:val="en-GB"/>
        </w:rPr>
        <w:t>The other expert teams continuously work towards meeting the</w:t>
      </w:r>
      <w:r w:rsidR="00F5591E">
        <w:rPr>
          <w:lang w:val="en-GB"/>
        </w:rPr>
        <w:t>ir</w:t>
      </w:r>
      <w:r w:rsidRPr="000E6FA4">
        <w:rPr>
          <w:lang w:val="en-GB"/>
        </w:rPr>
        <w:t xml:space="preserve"> tasks under the set timeframes.  Amongst the above expert teams are also </w:t>
      </w:r>
      <w:r w:rsidRPr="00F5591E">
        <w:rPr>
          <w:i/>
          <w:lang w:val="en-GB"/>
        </w:rPr>
        <w:t>the Expert team for developing a specific ML/TF risk assessment in the real estate sector</w:t>
      </w:r>
      <w:r w:rsidRPr="000E6FA4">
        <w:rPr>
          <w:lang w:val="en-GB"/>
        </w:rPr>
        <w:t xml:space="preserve"> and </w:t>
      </w:r>
      <w:r w:rsidRPr="00F5591E">
        <w:rPr>
          <w:i/>
          <w:lang w:val="en-GB"/>
        </w:rPr>
        <w:t>Expert team for analysing cases and identifying ML/TF trends and typologies</w:t>
      </w:r>
      <w:r w:rsidRPr="000E6FA4">
        <w:rPr>
          <w:lang w:val="en-GB"/>
        </w:rPr>
        <w:t>.</w:t>
      </w:r>
    </w:p>
    <w:p w:rsidR="00D4230D" w:rsidRPr="000E6FA4" w:rsidRDefault="00D76171" w:rsidP="00D4230D">
      <w:pPr>
        <w:pStyle w:val="Heading1"/>
        <w:rPr>
          <w:lang w:val="en-GB"/>
        </w:rPr>
      </w:pPr>
      <w:bookmarkStart w:id="2" w:name="_Toc179546453"/>
      <w:r w:rsidRPr="000E6FA4">
        <w:rPr>
          <w:bCs/>
          <w:lang w:val="en-GB"/>
        </w:rPr>
        <w:lastRenderedPageBreak/>
        <w:t>LEGAL AFFAIRS AND HARMONISATION OF LEGISLATION WITH INTERNATIONAL STANDARDS</w:t>
      </w:r>
      <w:bookmarkEnd w:id="2"/>
    </w:p>
    <w:p w:rsidR="00D4230D" w:rsidRPr="000E6FA4" w:rsidRDefault="00D4230D" w:rsidP="00D4230D">
      <w:pPr>
        <w:pStyle w:val="Heading2"/>
        <w:rPr>
          <w:lang w:val="en-GB"/>
        </w:rPr>
      </w:pPr>
    </w:p>
    <w:p w:rsidR="00827605" w:rsidRPr="000E6FA4" w:rsidRDefault="00827605" w:rsidP="00C7383E">
      <w:pPr>
        <w:tabs>
          <w:tab w:val="left" w:pos="1710"/>
        </w:tabs>
        <w:spacing w:line="240" w:lineRule="auto"/>
        <w:jc w:val="both"/>
        <w:rPr>
          <w:rFonts w:ascii="Times New Roman" w:eastAsia="Times New Roman" w:hAnsi="Times New Roman" w:cs="Times New Roman"/>
          <w:sz w:val="24"/>
          <w:szCs w:val="24"/>
          <w:lang w:val="en-GB"/>
        </w:rPr>
      </w:pPr>
      <w:r w:rsidRPr="000E6FA4">
        <w:rPr>
          <w:rFonts w:ascii="Times New Roman" w:eastAsia="Times New Roman" w:hAnsi="Times New Roman" w:cs="Times New Roman"/>
          <w:sz w:val="24"/>
          <w:szCs w:val="24"/>
          <w:lang w:val="en-GB"/>
        </w:rPr>
        <w:t xml:space="preserve">The </w:t>
      </w:r>
      <w:r w:rsidR="00F5591E">
        <w:rPr>
          <w:rFonts w:ascii="Times New Roman" w:eastAsia="Times New Roman" w:hAnsi="Times New Roman" w:cs="Times New Roman"/>
          <w:sz w:val="24"/>
          <w:szCs w:val="24"/>
          <w:lang w:val="en-GB"/>
        </w:rPr>
        <w:t xml:space="preserve">APML </w:t>
      </w:r>
      <w:r w:rsidRPr="000E6FA4">
        <w:rPr>
          <w:rFonts w:ascii="Times New Roman" w:eastAsia="Times New Roman" w:hAnsi="Times New Roman" w:cs="Times New Roman"/>
          <w:sz w:val="24"/>
          <w:szCs w:val="24"/>
          <w:lang w:val="en-GB"/>
        </w:rPr>
        <w:t>is the formal proponent of two laws, i.e. the Law on the Prevention of Money Laundering and the Financing of Terrorism (Official Gazette of RS, 113/17, 91/19 and 153/20</w:t>
      </w:r>
      <w:r w:rsidR="00F5591E">
        <w:rPr>
          <w:rFonts w:ascii="Times New Roman" w:eastAsia="Times New Roman" w:hAnsi="Times New Roman" w:cs="Times New Roman"/>
          <w:sz w:val="24"/>
          <w:szCs w:val="24"/>
          <w:lang w:val="en-GB"/>
        </w:rPr>
        <w:t>, AML/CFT Law</w:t>
      </w:r>
      <w:r w:rsidRPr="000E6FA4">
        <w:rPr>
          <w:rFonts w:ascii="Times New Roman" w:eastAsia="Times New Roman" w:hAnsi="Times New Roman" w:cs="Times New Roman"/>
          <w:sz w:val="24"/>
          <w:szCs w:val="24"/>
          <w:lang w:val="en-GB"/>
        </w:rPr>
        <w:t>) and Law on Freezing of Assets with the Aim of Preventing Terrorism and Proliferation of WMD (Official Gazette of RS, 29/2015, 113/2017 and 41/2018</w:t>
      </w:r>
      <w:r w:rsidR="00F5591E">
        <w:rPr>
          <w:rFonts w:ascii="Times New Roman" w:eastAsia="Times New Roman" w:hAnsi="Times New Roman" w:cs="Times New Roman"/>
          <w:sz w:val="24"/>
          <w:szCs w:val="24"/>
          <w:lang w:val="en-GB"/>
        </w:rPr>
        <w:t>, LAF</w:t>
      </w:r>
      <w:r w:rsidRPr="000E6FA4">
        <w:rPr>
          <w:rFonts w:ascii="Times New Roman" w:eastAsia="Times New Roman" w:hAnsi="Times New Roman" w:cs="Times New Roman"/>
          <w:sz w:val="24"/>
          <w:szCs w:val="24"/>
          <w:lang w:val="en-GB"/>
        </w:rPr>
        <w:t xml:space="preserve">). </w:t>
      </w:r>
    </w:p>
    <w:p w:rsidR="00F5591E" w:rsidRDefault="00F5591E" w:rsidP="00BD3430">
      <w:pPr>
        <w:pStyle w:val="Heading2"/>
        <w:rPr>
          <w:rFonts w:eastAsia="Times New Roman"/>
          <w:bCs/>
          <w:lang w:val="en-GB"/>
        </w:rPr>
      </w:pPr>
    </w:p>
    <w:p w:rsidR="00D4230D" w:rsidRPr="000E6FA4" w:rsidRDefault="00827605" w:rsidP="00BD3430">
      <w:pPr>
        <w:pStyle w:val="Heading2"/>
        <w:rPr>
          <w:rFonts w:eastAsia="Times New Roman"/>
          <w:lang w:val="en-GB"/>
        </w:rPr>
      </w:pPr>
      <w:bookmarkStart w:id="3" w:name="_Toc179546454"/>
      <w:r w:rsidRPr="000E6FA4">
        <w:rPr>
          <w:rFonts w:eastAsia="Times New Roman"/>
          <w:bCs/>
          <w:lang w:val="en-GB"/>
        </w:rPr>
        <w:t>Law on the Prevention of Money Laundering and Terrorism Financing (AML/CFT Law)</w:t>
      </w:r>
      <w:bookmarkEnd w:id="3"/>
    </w:p>
    <w:p w:rsidR="00827605" w:rsidRPr="000E6FA4" w:rsidRDefault="00827605" w:rsidP="00C7383E">
      <w:pPr>
        <w:tabs>
          <w:tab w:val="left" w:pos="1710"/>
        </w:tabs>
        <w:spacing w:line="240" w:lineRule="auto"/>
        <w:jc w:val="both"/>
        <w:rPr>
          <w:rFonts w:ascii="Times New Roman" w:eastAsia="Times New Roman" w:hAnsi="Times New Roman" w:cs="Times New Roman"/>
          <w:sz w:val="24"/>
          <w:szCs w:val="24"/>
          <w:lang w:val="en-GB"/>
        </w:rPr>
      </w:pPr>
      <w:r w:rsidRPr="000E6FA4">
        <w:rPr>
          <w:rFonts w:ascii="Times New Roman" w:eastAsia="Times New Roman" w:hAnsi="Times New Roman" w:cs="Times New Roman"/>
          <w:sz w:val="24"/>
          <w:szCs w:val="24"/>
          <w:lang w:val="en-GB"/>
        </w:rPr>
        <w:t xml:space="preserve">The Law on the Prevention of Money Laundering and Terrorism Financing (AML/CFT Law) was adopted on 14 December 2017 and subsequently amended in December 2019 and 2020. This law was passed the aim of harmonising the national AML/CFT legislation with international standards (FATF recommendations, Fourth European Union AML Directive), as well as the MONEYVAL 2016 Mutual Evaluation Report (MER) recommendations. </w:t>
      </w:r>
    </w:p>
    <w:p w:rsidR="00827605" w:rsidRPr="000E6FA4" w:rsidRDefault="00827605" w:rsidP="00C7383E">
      <w:pPr>
        <w:tabs>
          <w:tab w:val="left" w:pos="1710"/>
        </w:tabs>
        <w:spacing w:line="240" w:lineRule="auto"/>
        <w:jc w:val="both"/>
        <w:rPr>
          <w:rFonts w:ascii="Times New Roman" w:eastAsia="Times New Roman" w:hAnsi="Times New Roman" w:cs="Times New Roman"/>
          <w:sz w:val="24"/>
          <w:szCs w:val="24"/>
          <w:lang w:val="en-GB"/>
        </w:rPr>
      </w:pPr>
      <w:r w:rsidRPr="000E6FA4">
        <w:rPr>
          <w:rFonts w:ascii="Times New Roman" w:eastAsia="Times New Roman" w:hAnsi="Times New Roman" w:cs="Times New Roman"/>
          <w:sz w:val="24"/>
          <w:szCs w:val="24"/>
          <w:lang w:val="en-GB"/>
        </w:rPr>
        <w:t>The AML/CFT Law is further specified in two by-laws: Rulebook on the Methodology for Complying with the AML/CFT Law (Official Gazette of RS, no. 80/20) and Rulebook on the professional licensing examination for compliance officers (Official Gazette of RS, No. 104/20).</w:t>
      </w:r>
    </w:p>
    <w:p w:rsidR="00F925B9" w:rsidRPr="000E6FA4" w:rsidRDefault="00F925B9" w:rsidP="00C7383E">
      <w:pPr>
        <w:tabs>
          <w:tab w:val="left" w:pos="1710"/>
        </w:tabs>
        <w:spacing w:line="240" w:lineRule="auto"/>
        <w:jc w:val="both"/>
        <w:rPr>
          <w:rFonts w:ascii="Times New Roman" w:eastAsia="Times New Roman" w:hAnsi="Times New Roman" w:cs="Times New Roman"/>
          <w:sz w:val="24"/>
          <w:szCs w:val="24"/>
          <w:lang w:val="en-GB"/>
        </w:rPr>
      </w:pPr>
      <w:r w:rsidRPr="000E6FA4">
        <w:rPr>
          <w:rFonts w:ascii="Times New Roman" w:eastAsia="Times New Roman" w:hAnsi="Times New Roman" w:cs="Times New Roman"/>
          <w:sz w:val="24"/>
          <w:szCs w:val="24"/>
          <w:lang w:val="en-GB"/>
        </w:rPr>
        <w:t xml:space="preserve">The Rulebook on the methodology for complying with the AML/CFT Law was amended in February 2022. The Rulebook was amended in order to implement the findings of the 2021 ML/TF NRA and rectify the deficiencies noted in the MONEYVAL enhanced follow-up reports in relation to application of simplified customer due diligence (CDD).  </w:t>
      </w:r>
    </w:p>
    <w:p w:rsidR="00BD3430" w:rsidRPr="000E6FA4" w:rsidRDefault="00BD3430" w:rsidP="00D4230D">
      <w:pPr>
        <w:pStyle w:val="Heading2"/>
        <w:rPr>
          <w:rFonts w:eastAsia="Times New Roman"/>
          <w:lang w:val="en-GB"/>
        </w:rPr>
      </w:pPr>
    </w:p>
    <w:p w:rsidR="008F7B4E" w:rsidRPr="000E6FA4" w:rsidRDefault="00827605" w:rsidP="008F7B4E">
      <w:pPr>
        <w:pStyle w:val="Heading2"/>
        <w:rPr>
          <w:rFonts w:eastAsia="Times New Roman"/>
          <w:lang w:val="en-GB"/>
        </w:rPr>
      </w:pPr>
      <w:bookmarkStart w:id="4" w:name="_Toc179546455"/>
      <w:r w:rsidRPr="000E6FA4">
        <w:rPr>
          <w:rFonts w:eastAsia="Times New Roman"/>
          <w:bCs/>
          <w:lang w:val="en-GB"/>
        </w:rPr>
        <w:t xml:space="preserve">Law on the Freezing of Assets with the Aim of Preventing Terrorism and Proliferation of Weapons of Mass </w:t>
      </w:r>
      <w:r w:rsidRPr="00F5591E">
        <w:rPr>
          <w:rFonts w:eastAsia="Times New Roman"/>
          <w:bCs/>
          <w:lang w:val="en-GB"/>
        </w:rPr>
        <w:t>Destruction</w:t>
      </w:r>
      <w:r w:rsidRPr="00F5591E">
        <w:rPr>
          <w:rFonts w:eastAsia="Times New Roman"/>
          <w:lang w:val="en-GB"/>
        </w:rPr>
        <w:t xml:space="preserve"> </w:t>
      </w:r>
      <w:r w:rsidR="00F5591E" w:rsidRPr="00F5591E">
        <w:rPr>
          <w:rFonts w:eastAsia="Times New Roman"/>
          <w:lang w:val="en-GB"/>
        </w:rPr>
        <w:t>(LAF)</w:t>
      </w:r>
      <w:bookmarkEnd w:id="4"/>
      <w:r w:rsidRPr="000E6FA4">
        <w:rPr>
          <w:rFonts w:eastAsia="Times New Roman"/>
          <w:b w:val="0"/>
          <w:lang w:val="en-GB"/>
        </w:rPr>
        <w:t xml:space="preserve"> </w:t>
      </w:r>
    </w:p>
    <w:p w:rsidR="00827605" w:rsidRPr="000E6FA4" w:rsidRDefault="0016199B" w:rsidP="00C7383E">
      <w:pPr>
        <w:spacing w:line="240" w:lineRule="auto"/>
        <w:jc w:val="both"/>
        <w:rPr>
          <w:rFonts w:ascii="Times New Roman" w:eastAsia="Times New Roman" w:hAnsi="Times New Roman" w:cs="Times New Roman"/>
          <w:i/>
          <w:sz w:val="24"/>
          <w:szCs w:val="24"/>
          <w:lang w:val="en-GB"/>
        </w:rPr>
      </w:pPr>
      <w:r>
        <w:rPr>
          <w:rFonts w:ascii="Times New Roman" w:eastAsia="Times New Roman" w:hAnsi="Times New Roman" w:cs="Times New Roman"/>
          <w:sz w:val="24"/>
          <w:szCs w:val="24"/>
          <w:lang w:val="en-GB"/>
        </w:rPr>
        <w:t xml:space="preserve">On </w:t>
      </w:r>
      <w:r w:rsidRPr="000E6FA4">
        <w:rPr>
          <w:rFonts w:ascii="Times New Roman" w:eastAsia="Times New Roman" w:hAnsi="Times New Roman" w:cs="Times New Roman"/>
          <w:sz w:val="24"/>
          <w:szCs w:val="24"/>
          <w:lang w:val="en-GB"/>
        </w:rPr>
        <w:t>20 March 2015</w:t>
      </w:r>
      <w:r>
        <w:rPr>
          <w:rFonts w:ascii="Times New Roman" w:eastAsia="Times New Roman" w:hAnsi="Times New Roman" w:cs="Times New Roman"/>
          <w:sz w:val="24"/>
          <w:szCs w:val="24"/>
          <w:lang w:val="en-GB"/>
        </w:rPr>
        <w:t xml:space="preserve">, Serbian Parliament passed the </w:t>
      </w:r>
      <w:r w:rsidR="00827605" w:rsidRPr="000E6FA4">
        <w:rPr>
          <w:rFonts w:ascii="Times New Roman" w:eastAsia="Times New Roman" w:hAnsi="Times New Roman" w:cs="Times New Roman"/>
          <w:sz w:val="24"/>
          <w:szCs w:val="24"/>
          <w:lang w:val="en-GB"/>
        </w:rPr>
        <w:t xml:space="preserve">Law on Freezing of Assets with </w:t>
      </w:r>
      <w:r w:rsidR="00F5591E">
        <w:rPr>
          <w:rFonts w:ascii="Times New Roman" w:eastAsia="Times New Roman" w:hAnsi="Times New Roman" w:cs="Times New Roman"/>
          <w:sz w:val="24"/>
          <w:szCs w:val="24"/>
          <w:lang w:val="en-GB"/>
        </w:rPr>
        <w:t>the Aim of Preventing Terrorism</w:t>
      </w:r>
      <w:r>
        <w:rPr>
          <w:rFonts w:ascii="Times New Roman" w:eastAsia="Times New Roman" w:hAnsi="Times New Roman" w:cs="Times New Roman"/>
          <w:sz w:val="24"/>
          <w:szCs w:val="24"/>
          <w:lang w:val="en-GB"/>
        </w:rPr>
        <w:t xml:space="preserve"> whose </w:t>
      </w:r>
      <w:r w:rsidR="00827605" w:rsidRPr="000E6FA4">
        <w:rPr>
          <w:rFonts w:ascii="Times New Roman" w:eastAsia="Times New Roman" w:hAnsi="Times New Roman" w:cs="Times New Roman"/>
          <w:sz w:val="24"/>
          <w:szCs w:val="24"/>
          <w:lang w:val="en-GB"/>
        </w:rPr>
        <w:t xml:space="preserve">main objective law was to improve the fight against terrorism by establishing a system of preventive and repressive measures against terrorist </w:t>
      </w:r>
      <w:r w:rsidR="00827605" w:rsidRPr="0016199B">
        <w:rPr>
          <w:rFonts w:ascii="Times New Roman" w:eastAsia="Times New Roman" w:hAnsi="Times New Roman" w:cs="Times New Roman"/>
          <w:i/>
          <w:sz w:val="24"/>
          <w:szCs w:val="24"/>
          <w:lang w:val="en-GB"/>
        </w:rPr>
        <w:t>financing</w:t>
      </w:r>
      <w:r>
        <w:rPr>
          <w:rFonts w:ascii="Times New Roman" w:eastAsia="Times New Roman" w:hAnsi="Times New Roman" w:cs="Times New Roman"/>
          <w:sz w:val="24"/>
          <w:szCs w:val="24"/>
          <w:lang w:val="en-GB"/>
        </w:rPr>
        <w:t xml:space="preserve">, which constitutes </w:t>
      </w:r>
      <w:r w:rsidR="00827605" w:rsidRPr="000E6FA4">
        <w:rPr>
          <w:rFonts w:ascii="Times New Roman" w:eastAsia="Times New Roman" w:hAnsi="Times New Roman" w:cs="Times New Roman"/>
          <w:sz w:val="24"/>
          <w:szCs w:val="24"/>
          <w:lang w:val="en-GB"/>
        </w:rPr>
        <w:t xml:space="preserve">the prior necessary step </w:t>
      </w:r>
      <w:r>
        <w:rPr>
          <w:rFonts w:ascii="Times New Roman" w:eastAsia="Times New Roman" w:hAnsi="Times New Roman" w:cs="Times New Roman"/>
          <w:sz w:val="24"/>
          <w:szCs w:val="24"/>
          <w:lang w:val="en-GB"/>
        </w:rPr>
        <w:t xml:space="preserve">for </w:t>
      </w:r>
      <w:r w:rsidR="00827605" w:rsidRPr="000E6FA4">
        <w:rPr>
          <w:rFonts w:ascii="Times New Roman" w:eastAsia="Times New Roman" w:hAnsi="Times New Roman" w:cs="Times New Roman"/>
          <w:sz w:val="24"/>
          <w:szCs w:val="24"/>
          <w:lang w:val="en-GB"/>
        </w:rPr>
        <w:t xml:space="preserve">terrorist acts. By passing this legislation, Serbia complied with the provisions of Chapter VII of the United Nations (UN) Charter, which requires that the UN member states take measures to implement resolutions adopted by the UN Security Council (UNSC) within its powers. </w:t>
      </w:r>
    </w:p>
    <w:p w:rsidR="00827605" w:rsidRPr="000E6FA4" w:rsidRDefault="00827605" w:rsidP="00C7383E">
      <w:pPr>
        <w:spacing w:line="240" w:lineRule="auto"/>
        <w:jc w:val="both"/>
        <w:rPr>
          <w:rFonts w:ascii="Times New Roman" w:eastAsia="Times New Roman" w:hAnsi="Times New Roman" w:cs="Times New Roman"/>
          <w:sz w:val="24"/>
          <w:szCs w:val="24"/>
          <w:lang w:val="en-GB"/>
        </w:rPr>
      </w:pPr>
      <w:r w:rsidRPr="000E6FA4">
        <w:rPr>
          <w:rFonts w:ascii="Times New Roman" w:eastAsia="Times New Roman" w:hAnsi="Times New Roman" w:cs="Times New Roman"/>
          <w:sz w:val="24"/>
          <w:szCs w:val="24"/>
          <w:lang w:val="en-GB"/>
        </w:rPr>
        <w:t xml:space="preserve">In order </w:t>
      </w:r>
      <w:r w:rsidR="00F5591E">
        <w:rPr>
          <w:rFonts w:ascii="Times New Roman" w:eastAsia="Times New Roman" w:hAnsi="Times New Roman" w:cs="Times New Roman"/>
          <w:sz w:val="24"/>
          <w:szCs w:val="24"/>
          <w:lang w:val="en-GB"/>
        </w:rPr>
        <w:t xml:space="preserve">to further its compliance </w:t>
      </w:r>
      <w:r w:rsidRPr="000E6FA4">
        <w:rPr>
          <w:rFonts w:ascii="Times New Roman" w:eastAsia="Times New Roman" w:hAnsi="Times New Roman" w:cs="Times New Roman"/>
          <w:sz w:val="24"/>
          <w:szCs w:val="24"/>
          <w:lang w:val="en-GB"/>
        </w:rPr>
        <w:t xml:space="preserve">FATF Recommendation 6 and remedy the deficiencies found in the MONEYVAL 2016 MER for Serbia, this law was amended in December 2017. Additionally, the law was amended again in May 2018 in order to implement FATF Recommendation 7 - its </w:t>
      </w:r>
      <w:r w:rsidR="00FA7E44">
        <w:rPr>
          <w:rFonts w:ascii="Times New Roman" w:eastAsia="Times New Roman" w:hAnsi="Times New Roman" w:cs="Times New Roman"/>
          <w:sz w:val="24"/>
          <w:szCs w:val="24"/>
          <w:lang w:val="en-GB"/>
        </w:rPr>
        <w:t xml:space="preserve">TFS </w:t>
      </w:r>
      <w:r w:rsidRPr="000E6FA4">
        <w:rPr>
          <w:rFonts w:ascii="Times New Roman" w:eastAsia="Times New Roman" w:hAnsi="Times New Roman" w:cs="Times New Roman"/>
          <w:sz w:val="24"/>
          <w:szCs w:val="24"/>
          <w:lang w:val="en-GB"/>
        </w:rPr>
        <w:t>provisions</w:t>
      </w:r>
      <w:r w:rsidR="00FA7E44">
        <w:rPr>
          <w:rFonts w:ascii="Times New Roman" w:eastAsia="Times New Roman" w:hAnsi="Times New Roman" w:cs="Times New Roman"/>
          <w:sz w:val="24"/>
          <w:szCs w:val="24"/>
          <w:lang w:val="en-GB"/>
        </w:rPr>
        <w:t xml:space="preserve"> </w:t>
      </w:r>
      <w:r w:rsidRPr="000E6FA4">
        <w:rPr>
          <w:rFonts w:ascii="Times New Roman" w:eastAsia="Times New Roman" w:hAnsi="Times New Roman" w:cs="Times New Roman"/>
          <w:sz w:val="24"/>
          <w:szCs w:val="24"/>
          <w:lang w:val="en-GB"/>
        </w:rPr>
        <w:t xml:space="preserve">were extended in May 2018 </w:t>
      </w:r>
      <w:r w:rsidR="00FA7E44">
        <w:rPr>
          <w:rFonts w:ascii="Times New Roman" w:eastAsia="Times New Roman" w:hAnsi="Times New Roman" w:cs="Times New Roman"/>
          <w:sz w:val="24"/>
          <w:szCs w:val="24"/>
          <w:lang w:val="en-GB"/>
        </w:rPr>
        <w:t xml:space="preserve">to proliferation of WMD, so this law was now titled the </w:t>
      </w:r>
      <w:r w:rsidRPr="000E6FA4">
        <w:rPr>
          <w:rFonts w:ascii="Times New Roman" w:eastAsia="Times New Roman" w:hAnsi="Times New Roman" w:cs="Times New Roman"/>
          <w:sz w:val="24"/>
          <w:szCs w:val="24"/>
          <w:lang w:val="en-GB"/>
        </w:rPr>
        <w:t xml:space="preserve">Law on Freezing of Assets with the Aim of Preventing Terrorism and Proliferation of WMD (LAF). </w:t>
      </w:r>
    </w:p>
    <w:p w:rsidR="00827605" w:rsidRPr="000E6FA4" w:rsidRDefault="00827605" w:rsidP="00C7383E">
      <w:pPr>
        <w:spacing w:line="240" w:lineRule="auto"/>
        <w:jc w:val="both"/>
        <w:rPr>
          <w:rFonts w:ascii="Times New Roman" w:eastAsia="Times New Roman" w:hAnsi="Times New Roman" w:cs="Times New Roman"/>
          <w:sz w:val="24"/>
          <w:szCs w:val="24"/>
          <w:lang w:val="en-GB"/>
        </w:rPr>
      </w:pPr>
      <w:r w:rsidRPr="000E6FA4">
        <w:rPr>
          <w:rFonts w:ascii="Times New Roman" w:eastAsia="Times New Roman" w:hAnsi="Times New Roman" w:cs="Times New Roman"/>
          <w:sz w:val="24"/>
          <w:szCs w:val="24"/>
          <w:lang w:val="en-GB"/>
        </w:rPr>
        <w:t xml:space="preserve">Certain LAF provisions are further specified in the </w:t>
      </w:r>
      <w:r w:rsidRPr="000E0CA5">
        <w:rPr>
          <w:rFonts w:ascii="Times New Roman" w:eastAsia="Times New Roman" w:hAnsi="Times New Roman" w:cs="Times New Roman"/>
          <w:i/>
          <w:sz w:val="24"/>
          <w:szCs w:val="24"/>
          <w:lang w:val="en-GB"/>
        </w:rPr>
        <w:t xml:space="preserve">Rulebook on the manner of notifying natural and legal persons about modifications to the lists of designated persons and on the manner of </w:t>
      </w:r>
      <w:r w:rsidRPr="000E0CA5">
        <w:rPr>
          <w:rFonts w:ascii="Times New Roman" w:eastAsia="Times New Roman" w:hAnsi="Times New Roman" w:cs="Times New Roman"/>
          <w:i/>
          <w:sz w:val="24"/>
          <w:szCs w:val="24"/>
          <w:lang w:val="en-GB"/>
        </w:rPr>
        <w:lastRenderedPageBreak/>
        <w:t xml:space="preserve">filing reports, information and data concerning </w:t>
      </w:r>
      <w:r w:rsidR="000E0CA5">
        <w:rPr>
          <w:rFonts w:ascii="Times New Roman" w:eastAsia="Times New Roman" w:hAnsi="Times New Roman" w:cs="Times New Roman"/>
          <w:i/>
          <w:sz w:val="24"/>
          <w:szCs w:val="24"/>
          <w:lang w:val="en-GB"/>
        </w:rPr>
        <w:t>the designated</w:t>
      </w:r>
      <w:r w:rsidRPr="000E0CA5">
        <w:rPr>
          <w:rFonts w:ascii="Times New Roman" w:eastAsia="Times New Roman" w:hAnsi="Times New Roman" w:cs="Times New Roman"/>
          <w:i/>
          <w:sz w:val="24"/>
          <w:szCs w:val="24"/>
          <w:lang w:val="en-GB"/>
        </w:rPr>
        <w:t xml:space="preserve"> person and their assets </w:t>
      </w:r>
      <w:r w:rsidRPr="000E6FA4">
        <w:rPr>
          <w:rFonts w:ascii="Times New Roman" w:eastAsia="Times New Roman" w:hAnsi="Times New Roman" w:cs="Times New Roman"/>
          <w:sz w:val="24"/>
          <w:szCs w:val="24"/>
          <w:lang w:val="en-GB"/>
        </w:rPr>
        <w:t>(Official Gazette of the Republic of Serbia, No 78/2018).</w:t>
      </w:r>
    </w:p>
    <w:p w:rsidR="00D4230D" w:rsidRPr="000E6FA4" w:rsidRDefault="00EC660D" w:rsidP="00BD3430">
      <w:pPr>
        <w:pStyle w:val="Heading2"/>
        <w:rPr>
          <w:lang w:val="en-GB"/>
        </w:rPr>
      </w:pPr>
      <w:bookmarkStart w:id="5" w:name="_Toc179546456"/>
      <w:r w:rsidRPr="000E6FA4">
        <w:rPr>
          <w:bCs/>
          <w:lang w:val="en-GB"/>
        </w:rPr>
        <w:t>Designation and asset freezing</w:t>
      </w:r>
      <w:bookmarkEnd w:id="5"/>
    </w:p>
    <w:p w:rsidR="00EC660D" w:rsidRPr="000E6FA4" w:rsidRDefault="00EC660D"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On 20 December 2018, seven persons were designated based on the Government Decision no. 337-12096/2018-1.</w:t>
      </w:r>
    </w:p>
    <w:p w:rsidR="00BD3430" w:rsidRPr="000E6FA4" w:rsidRDefault="00EC660D"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In 2022, the Minister of Finance passed three decisions to freeze assets of one listed person, after a legal entity identified it had </w:t>
      </w:r>
      <w:r w:rsidRPr="000E0CA5">
        <w:rPr>
          <w:rFonts w:ascii="Times New Roman" w:hAnsi="Times New Roman" w:cs="Times New Roman"/>
          <w:i/>
          <w:sz w:val="24"/>
          <w:szCs w:val="24"/>
          <w:lang w:val="en-GB"/>
        </w:rPr>
        <w:t>business or similar relations with the designated person</w:t>
      </w:r>
      <w:r w:rsidRPr="000E6FA4">
        <w:rPr>
          <w:rFonts w:ascii="Times New Roman" w:hAnsi="Times New Roman" w:cs="Times New Roman"/>
          <w:sz w:val="24"/>
          <w:szCs w:val="24"/>
          <w:lang w:val="en-GB"/>
        </w:rPr>
        <w:t xml:space="preserve"> and </w:t>
      </w:r>
      <w:r w:rsidR="000E0CA5">
        <w:rPr>
          <w:rFonts w:ascii="Times New Roman" w:hAnsi="Times New Roman" w:cs="Times New Roman"/>
          <w:sz w:val="24"/>
          <w:szCs w:val="24"/>
          <w:lang w:val="en-GB"/>
        </w:rPr>
        <w:t xml:space="preserve">notified the </w:t>
      </w:r>
      <w:r w:rsidRPr="000E6FA4">
        <w:rPr>
          <w:rFonts w:ascii="Times New Roman" w:hAnsi="Times New Roman" w:cs="Times New Roman"/>
          <w:sz w:val="24"/>
          <w:szCs w:val="24"/>
          <w:lang w:val="en-GB"/>
        </w:rPr>
        <w:t>APML</w:t>
      </w:r>
      <w:r w:rsidR="000E0CA5">
        <w:rPr>
          <w:rFonts w:ascii="Times New Roman" w:hAnsi="Times New Roman" w:cs="Times New Roman"/>
          <w:sz w:val="24"/>
          <w:szCs w:val="24"/>
          <w:lang w:val="en-GB"/>
        </w:rPr>
        <w:t xml:space="preserve"> thereof</w:t>
      </w:r>
      <w:r w:rsidRPr="000E6FA4">
        <w:rPr>
          <w:rFonts w:ascii="Times New Roman" w:hAnsi="Times New Roman" w:cs="Times New Roman"/>
          <w:sz w:val="24"/>
          <w:szCs w:val="24"/>
          <w:lang w:val="en-GB"/>
        </w:rPr>
        <w:t>.</w:t>
      </w:r>
    </w:p>
    <w:p w:rsidR="00BD3430" w:rsidRPr="000E6FA4" w:rsidRDefault="00EC660D" w:rsidP="00504BA6">
      <w:pPr>
        <w:pStyle w:val="Heading2"/>
        <w:rPr>
          <w:lang w:val="en-GB"/>
        </w:rPr>
      </w:pPr>
      <w:bookmarkStart w:id="6" w:name="_Toc179546457"/>
      <w:r w:rsidRPr="000E6FA4">
        <w:rPr>
          <w:bCs/>
          <w:lang w:val="en-GB"/>
        </w:rPr>
        <w:t xml:space="preserve">APML opinions concerning the application </w:t>
      </w:r>
      <w:r w:rsidR="000E0CA5">
        <w:rPr>
          <w:bCs/>
          <w:lang w:val="en-GB"/>
        </w:rPr>
        <w:t xml:space="preserve">of the legislation whose formal </w:t>
      </w:r>
      <w:r w:rsidRPr="000E6FA4">
        <w:rPr>
          <w:bCs/>
          <w:lang w:val="en-GB"/>
        </w:rPr>
        <w:t>proponent is the APML</w:t>
      </w:r>
      <w:bookmarkEnd w:id="6"/>
    </w:p>
    <w:p w:rsidR="00EC660D" w:rsidRPr="000E0CA5" w:rsidRDefault="00EC660D"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The </w:t>
      </w:r>
      <w:r w:rsidRPr="000E0CA5">
        <w:rPr>
          <w:rFonts w:ascii="Times New Roman" w:hAnsi="Times New Roman" w:cs="Times New Roman"/>
          <w:i/>
          <w:sz w:val="24"/>
          <w:szCs w:val="24"/>
          <w:lang w:val="en-GB"/>
        </w:rPr>
        <w:t>Team for legal affairs and harmonisation of legislation with international standards</w:t>
      </w:r>
      <w:r w:rsidRPr="000E6FA4">
        <w:rPr>
          <w:rFonts w:ascii="Times New Roman" w:hAnsi="Times New Roman" w:cs="Times New Roman"/>
          <w:sz w:val="24"/>
          <w:szCs w:val="24"/>
          <w:lang w:val="en-GB"/>
        </w:rPr>
        <w:t xml:space="preserve"> drafts </w:t>
      </w:r>
      <w:r w:rsidRPr="000E0CA5">
        <w:rPr>
          <w:rFonts w:ascii="Times New Roman" w:hAnsi="Times New Roman" w:cs="Times New Roman"/>
          <w:sz w:val="24"/>
          <w:szCs w:val="24"/>
          <w:lang w:val="en-GB"/>
        </w:rPr>
        <w:t>opinions concerning the application of the AML/CFT Law, LAF and related by-legislation.</w:t>
      </w:r>
    </w:p>
    <w:p w:rsidR="00BD3430" w:rsidRPr="000E0CA5" w:rsidRDefault="00EC660D" w:rsidP="00130E78">
      <w:pPr>
        <w:spacing w:line="240" w:lineRule="auto"/>
        <w:jc w:val="both"/>
        <w:rPr>
          <w:rFonts w:ascii="Times New Roman" w:hAnsi="Times New Roman" w:cs="Times New Roman"/>
          <w:sz w:val="24"/>
          <w:szCs w:val="24"/>
          <w:lang w:val="en-GB"/>
        </w:rPr>
      </w:pPr>
      <w:r w:rsidRPr="000E0CA5">
        <w:rPr>
          <w:rFonts w:ascii="Times New Roman" w:hAnsi="Times New Roman" w:cs="Times New Roman"/>
          <w:sz w:val="24"/>
          <w:szCs w:val="24"/>
          <w:lang w:val="en-GB"/>
        </w:rPr>
        <w:t>The opinions are posted on the APML website, section ‘</w:t>
      </w:r>
      <w:r w:rsidR="000E0CA5">
        <w:rPr>
          <w:rFonts w:ascii="Times New Roman" w:hAnsi="Times New Roman" w:cs="Times New Roman"/>
          <w:i/>
          <w:sz w:val="24"/>
          <w:szCs w:val="24"/>
          <w:lang w:val="sr-Cyrl-RS"/>
        </w:rPr>
        <w:t>Стручна мишљења</w:t>
      </w:r>
      <w:r w:rsidR="000E0CA5">
        <w:rPr>
          <w:rFonts w:ascii="Times New Roman" w:hAnsi="Times New Roman" w:cs="Times New Roman"/>
          <w:i/>
          <w:sz w:val="24"/>
          <w:szCs w:val="24"/>
        </w:rPr>
        <w:t>’ (</w:t>
      </w:r>
      <w:proofErr w:type="spellStart"/>
      <w:r w:rsidRPr="000E0CA5">
        <w:rPr>
          <w:rFonts w:ascii="Times New Roman" w:hAnsi="Times New Roman" w:cs="Times New Roman"/>
          <w:i/>
          <w:sz w:val="24"/>
          <w:szCs w:val="24"/>
          <w:lang w:val="en-GB"/>
        </w:rPr>
        <w:t>Stru</w:t>
      </w:r>
      <w:r w:rsidR="000E0CA5">
        <w:rPr>
          <w:rFonts w:ascii="Times New Roman" w:hAnsi="Times New Roman" w:cs="Times New Roman"/>
          <w:i/>
          <w:sz w:val="24"/>
          <w:szCs w:val="24"/>
          <w:lang w:val="en-GB"/>
        </w:rPr>
        <w:t>čna</w:t>
      </w:r>
      <w:proofErr w:type="spellEnd"/>
      <w:r w:rsidR="000E0CA5">
        <w:rPr>
          <w:rFonts w:ascii="Times New Roman" w:hAnsi="Times New Roman" w:cs="Times New Roman"/>
          <w:i/>
          <w:sz w:val="24"/>
          <w:szCs w:val="24"/>
          <w:lang w:val="en-GB"/>
        </w:rPr>
        <w:t xml:space="preserve"> </w:t>
      </w:r>
      <w:proofErr w:type="spellStart"/>
      <w:r w:rsidR="000E0CA5">
        <w:rPr>
          <w:rFonts w:ascii="Times New Roman" w:hAnsi="Times New Roman" w:cs="Times New Roman"/>
          <w:i/>
          <w:sz w:val="24"/>
          <w:szCs w:val="24"/>
          <w:lang w:val="en-GB"/>
        </w:rPr>
        <w:t>miš</w:t>
      </w:r>
      <w:r w:rsidRPr="000E0CA5">
        <w:rPr>
          <w:rFonts w:ascii="Times New Roman" w:hAnsi="Times New Roman" w:cs="Times New Roman"/>
          <w:i/>
          <w:sz w:val="24"/>
          <w:szCs w:val="24"/>
          <w:lang w:val="en-GB"/>
        </w:rPr>
        <w:t>ljenja</w:t>
      </w:r>
      <w:proofErr w:type="spellEnd"/>
      <w:r w:rsidR="000E0CA5" w:rsidRPr="000E0CA5">
        <w:rPr>
          <w:rFonts w:ascii="Times New Roman" w:hAnsi="Times New Roman" w:cs="Times New Roman"/>
          <w:i/>
          <w:sz w:val="24"/>
          <w:szCs w:val="24"/>
          <w:lang w:val="en-GB"/>
        </w:rPr>
        <w:t>)</w:t>
      </w:r>
      <w:r w:rsidRPr="000E0CA5">
        <w:rPr>
          <w:rFonts w:ascii="Times New Roman" w:hAnsi="Times New Roman" w:cs="Times New Roman"/>
          <w:i/>
          <w:sz w:val="24"/>
          <w:szCs w:val="24"/>
          <w:lang w:val="en-GB"/>
        </w:rPr>
        <w:t xml:space="preserve"> </w:t>
      </w:r>
      <w:hyperlink r:id="rId8" w:history="1">
        <w:r w:rsidRPr="000E0CA5">
          <w:rPr>
            <w:rStyle w:val="Hyperlink"/>
            <w:rFonts w:ascii="Times New Roman" w:hAnsi="Times New Roman" w:cs="Times New Roman"/>
            <w:sz w:val="24"/>
            <w:szCs w:val="24"/>
            <w:lang w:val="en-GB"/>
          </w:rPr>
          <w:t>http://www.apml.gov.rs/pretraga-strucnih-misljenja</w:t>
        </w:r>
      </w:hyperlink>
    </w:p>
    <w:p w:rsidR="00BD3430" w:rsidRPr="000E0CA5" w:rsidRDefault="00BD3430" w:rsidP="00D4230D">
      <w:pPr>
        <w:pStyle w:val="Heading2"/>
        <w:rPr>
          <w:rFonts w:cs="Times New Roman"/>
          <w:sz w:val="24"/>
          <w:szCs w:val="24"/>
          <w:lang w:val="en-GB"/>
        </w:rPr>
      </w:pPr>
    </w:p>
    <w:p w:rsidR="00D4230D" w:rsidRPr="000E0CA5" w:rsidRDefault="008B1E8A" w:rsidP="00BD3430">
      <w:pPr>
        <w:pStyle w:val="Heading2"/>
        <w:rPr>
          <w:bCs/>
          <w:lang w:val="en-GB"/>
        </w:rPr>
      </w:pPr>
      <w:bookmarkStart w:id="7" w:name="_Toc179546458"/>
      <w:r w:rsidRPr="000E0CA5">
        <w:rPr>
          <w:bCs/>
          <w:lang w:val="en-GB"/>
        </w:rPr>
        <w:t>Professional licencing examination for compliance officers</w:t>
      </w:r>
      <w:bookmarkEnd w:id="7"/>
    </w:p>
    <w:p w:rsidR="004C0002" w:rsidRPr="000E6FA4" w:rsidRDefault="004C0002" w:rsidP="00C7383E">
      <w:pPr>
        <w:spacing w:line="240" w:lineRule="auto"/>
        <w:jc w:val="both"/>
        <w:rPr>
          <w:rFonts w:ascii="Times New Roman" w:hAnsi="Times New Roman" w:cs="Times New Roman"/>
          <w:sz w:val="24"/>
          <w:szCs w:val="24"/>
          <w:lang w:val="en-GB"/>
        </w:rPr>
      </w:pPr>
      <w:r w:rsidRPr="000E0CA5">
        <w:rPr>
          <w:rFonts w:ascii="Times New Roman" w:hAnsi="Times New Roman" w:cs="Times New Roman"/>
          <w:sz w:val="24"/>
          <w:szCs w:val="24"/>
          <w:lang w:val="en-GB"/>
        </w:rPr>
        <w:t>In 2022, APML completed 5 licencing examination</w:t>
      </w:r>
      <w:r w:rsidR="000E0CA5">
        <w:rPr>
          <w:rFonts w:ascii="Times New Roman" w:hAnsi="Times New Roman" w:cs="Times New Roman"/>
          <w:sz w:val="24"/>
          <w:szCs w:val="24"/>
          <w:lang w:val="en-GB"/>
        </w:rPr>
        <w:t xml:space="preserve"> cycles</w:t>
      </w:r>
      <w:r w:rsidRPr="000E0CA5">
        <w:rPr>
          <w:rFonts w:ascii="Times New Roman" w:hAnsi="Times New Roman" w:cs="Times New Roman"/>
          <w:sz w:val="24"/>
          <w:szCs w:val="24"/>
          <w:lang w:val="en-GB"/>
        </w:rPr>
        <w:t>, each of which involving a written test and</w:t>
      </w:r>
      <w:r w:rsidRPr="000E6FA4">
        <w:rPr>
          <w:rFonts w:ascii="Times New Roman" w:hAnsi="Times New Roman" w:cs="Times New Roman"/>
          <w:sz w:val="24"/>
          <w:szCs w:val="24"/>
          <w:lang w:val="en-GB"/>
        </w:rPr>
        <w:t xml:space="preserve"> oral examination. </w:t>
      </w:r>
    </w:p>
    <w:p w:rsidR="004C0002" w:rsidRPr="000E6FA4" w:rsidRDefault="004C0002"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It licenced 119 compliance officers in 2022</w:t>
      </w:r>
      <w:r w:rsidR="000E0CA5">
        <w:rPr>
          <w:rFonts w:ascii="Times New Roman" w:hAnsi="Times New Roman" w:cs="Times New Roman"/>
          <w:sz w:val="24"/>
          <w:szCs w:val="24"/>
          <w:lang w:val="en-GB"/>
        </w:rPr>
        <w:t xml:space="preserve"> in accordance with </w:t>
      </w:r>
      <w:r w:rsidR="000E0CA5" w:rsidRPr="000E6FA4">
        <w:rPr>
          <w:rFonts w:ascii="Times New Roman" w:hAnsi="Times New Roman" w:cs="Times New Roman"/>
          <w:sz w:val="24"/>
          <w:szCs w:val="24"/>
          <w:lang w:val="en-GB"/>
        </w:rPr>
        <w:t>Article 18 of the Rulebook on the Professional Licensing of Compliance Officers</w:t>
      </w:r>
      <w:r w:rsidRPr="000E6FA4">
        <w:rPr>
          <w:rFonts w:ascii="Times New Roman" w:hAnsi="Times New Roman" w:cs="Times New Roman"/>
          <w:sz w:val="24"/>
          <w:szCs w:val="24"/>
          <w:lang w:val="en-GB"/>
        </w:rPr>
        <w:t xml:space="preserve">. </w:t>
      </w:r>
    </w:p>
    <w:p w:rsidR="00EB6444" w:rsidRDefault="00EB6444" w:rsidP="00BD3430">
      <w:pPr>
        <w:pStyle w:val="Heading1"/>
        <w:rPr>
          <w:bCs/>
          <w:lang w:val="en-GB"/>
        </w:rPr>
      </w:pPr>
    </w:p>
    <w:p w:rsidR="00BD3430" w:rsidRPr="000E6FA4" w:rsidRDefault="006F5379" w:rsidP="00BD3430">
      <w:pPr>
        <w:pStyle w:val="Heading1"/>
        <w:rPr>
          <w:lang w:val="en-GB"/>
        </w:rPr>
      </w:pPr>
      <w:bookmarkStart w:id="8" w:name="_Toc179546459"/>
      <w:r w:rsidRPr="000E6FA4">
        <w:rPr>
          <w:bCs/>
          <w:lang w:val="en-GB"/>
        </w:rPr>
        <w:t>INTERNATIONAL COOPERATION</w:t>
      </w:r>
      <w:bookmarkEnd w:id="8"/>
      <w:r w:rsidRPr="000E6FA4">
        <w:rPr>
          <w:b w:val="0"/>
          <w:lang w:val="en-GB"/>
        </w:rPr>
        <w:t xml:space="preserve"> </w:t>
      </w:r>
    </w:p>
    <w:p w:rsidR="00D4230D" w:rsidRPr="000E6FA4" w:rsidRDefault="00225BCE" w:rsidP="00D4230D">
      <w:pPr>
        <w:pStyle w:val="Heading2"/>
        <w:rPr>
          <w:lang w:val="en-GB"/>
        </w:rPr>
      </w:pPr>
      <w:bookmarkStart w:id="9" w:name="_Toc179546460"/>
      <w:r w:rsidRPr="000E6FA4">
        <w:rPr>
          <w:bCs/>
          <w:lang w:val="en-GB"/>
        </w:rPr>
        <w:t>Participation in MONEYVAL activities</w:t>
      </w:r>
      <w:bookmarkEnd w:id="9"/>
    </w:p>
    <w:p w:rsidR="00225BCE" w:rsidRPr="000E6FA4" w:rsidRDefault="00225BCE"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In 2022, MONEYVAL </w:t>
      </w:r>
      <w:r w:rsidR="00CC7C2B">
        <w:rPr>
          <w:rFonts w:ascii="Times New Roman" w:hAnsi="Times New Roman" w:cs="Times New Roman"/>
          <w:sz w:val="24"/>
          <w:szCs w:val="24"/>
          <w:lang w:val="en-GB"/>
        </w:rPr>
        <w:t xml:space="preserve">held two </w:t>
      </w:r>
      <w:r w:rsidRPr="000E6FA4">
        <w:rPr>
          <w:rFonts w:ascii="Times New Roman" w:hAnsi="Times New Roman" w:cs="Times New Roman"/>
          <w:sz w:val="24"/>
          <w:szCs w:val="24"/>
          <w:lang w:val="en-GB"/>
        </w:rPr>
        <w:t>plenaries, i.e. 63</w:t>
      </w:r>
      <w:r w:rsidRPr="00CC7C2B">
        <w:rPr>
          <w:rFonts w:ascii="Times New Roman" w:hAnsi="Times New Roman" w:cs="Times New Roman"/>
          <w:sz w:val="24"/>
          <w:szCs w:val="24"/>
          <w:vertAlign w:val="superscript"/>
          <w:lang w:val="en-GB"/>
        </w:rPr>
        <w:t>rd</w:t>
      </w:r>
      <w:r w:rsidRPr="000E6FA4">
        <w:rPr>
          <w:rFonts w:ascii="Times New Roman" w:hAnsi="Times New Roman" w:cs="Times New Roman"/>
          <w:sz w:val="24"/>
          <w:szCs w:val="24"/>
          <w:lang w:val="en-GB"/>
        </w:rPr>
        <w:t xml:space="preserve"> Plenary (18-20.5.2022, Strasbourg), attended in person by APML director and virtually by delegates from the Ministry of Justice, Ministry of Interior and National Bank of Serbia; and 64</w:t>
      </w:r>
      <w:r w:rsidRPr="00CC7C2B">
        <w:rPr>
          <w:rFonts w:ascii="Times New Roman" w:hAnsi="Times New Roman" w:cs="Times New Roman"/>
          <w:sz w:val="24"/>
          <w:szCs w:val="24"/>
          <w:vertAlign w:val="superscript"/>
          <w:lang w:val="en-GB"/>
        </w:rPr>
        <w:t>th</w:t>
      </w:r>
      <w:r w:rsidR="00CC7C2B">
        <w:rPr>
          <w:rFonts w:ascii="Times New Roman" w:hAnsi="Times New Roman" w:cs="Times New Roman"/>
          <w:sz w:val="24"/>
          <w:szCs w:val="24"/>
          <w:lang w:val="en-GB"/>
        </w:rPr>
        <w:t xml:space="preserve"> </w:t>
      </w:r>
      <w:r w:rsidRPr="000E6FA4">
        <w:rPr>
          <w:rFonts w:ascii="Times New Roman" w:hAnsi="Times New Roman" w:cs="Times New Roman"/>
          <w:sz w:val="24"/>
          <w:szCs w:val="24"/>
          <w:lang w:val="en-GB"/>
        </w:rPr>
        <w:t xml:space="preserve">Plenary (5-9.12.2022, Strasbourg) attended in person by a delegation comprising APML Director, </w:t>
      </w:r>
      <w:r w:rsidR="00CB6F40">
        <w:rPr>
          <w:rFonts w:ascii="Times New Roman" w:hAnsi="Times New Roman" w:cs="Times New Roman"/>
          <w:sz w:val="24"/>
          <w:szCs w:val="24"/>
          <w:lang w:val="en-GB"/>
        </w:rPr>
        <w:t xml:space="preserve">and </w:t>
      </w:r>
      <w:r w:rsidR="00CB6F40" w:rsidRPr="000E6FA4">
        <w:rPr>
          <w:rFonts w:ascii="Times New Roman" w:hAnsi="Times New Roman" w:cs="Times New Roman"/>
          <w:sz w:val="24"/>
          <w:szCs w:val="24"/>
          <w:lang w:val="en-GB"/>
        </w:rPr>
        <w:t xml:space="preserve">representatives </w:t>
      </w:r>
      <w:r w:rsidR="00CB6F40">
        <w:rPr>
          <w:rFonts w:ascii="Times New Roman" w:hAnsi="Times New Roman" w:cs="Times New Roman"/>
          <w:sz w:val="24"/>
          <w:szCs w:val="24"/>
          <w:lang w:val="en-GB"/>
        </w:rPr>
        <w:t xml:space="preserve">from the </w:t>
      </w:r>
      <w:r w:rsidRPr="000E6FA4">
        <w:rPr>
          <w:rFonts w:ascii="Times New Roman" w:hAnsi="Times New Roman" w:cs="Times New Roman"/>
          <w:sz w:val="24"/>
          <w:szCs w:val="24"/>
          <w:lang w:val="en-GB"/>
        </w:rPr>
        <w:t>Ministry of Inte</w:t>
      </w:r>
      <w:r w:rsidR="00CB6F40">
        <w:rPr>
          <w:rFonts w:ascii="Times New Roman" w:hAnsi="Times New Roman" w:cs="Times New Roman"/>
          <w:sz w:val="24"/>
          <w:szCs w:val="24"/>
          <w:lang w:val="en-GB"/>
        </w:rPr>
        <w:t>rior and National Bank of Serbia</w:t>
      </w:r>
      <w:r w:rsidRPr="000E6FA4">
        <w:rPr>
          <w:rFonts w:ascii="Times New Roman" w:hAnsi="Times New Roman" w:cs="Times New Roman"/>
          <w:sz w:val="24"/>
          <w:szCs w:val="24"/>
          <w:lang w:val="en-GB"/>
        </w:rPr>
        <w:t xml:space="preserve">. </w:t>
      </w:r>
    </w:p>
    <w:p w:rsidR="00225BCE" w:rsidRPr="000E6FA4" w:rsidRDefault="00225BCE"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In addition, </w:t>
      </w:r>
      <w:r w:rsidR="00CB6F40">
        <w:rPr>
          <w:rFonts w:ascii="Times New Roman" w:hAnsi="Times New Roman" w:cs="Times New Roman"/>
          <w:sz w:val="24"/>
          <w:szCs w:val="24"/>
          <w:lang w:val="en-GB"/>
        </w:rPr>
        <w:t xml:space="preserve">an </w:t>
      </w:r>
      <w:r w:rsidRPr="000E6FA4">
        <w:rPr>
          <w:rFonts w:ascii="Times New Roman" w:hAnsi="Times New Roman" w:cs="Times New Roman"/>
          <w:sz w:val="24"/>
          <w:szCs w:val="24"/>
          <w:lang w:val="en-GB"/>
        </w:rPr>
        <w:t xml:space="preserve">APML </w:t>
      </w:r>
      <w:r w:rsidR="0008665C" w:rsidRPr="000E6FA4">
        <w:rPr>
          <w:rFonts w:ascii="Times New Roman" w:hAnsi="Times New Roman" w:cs="Times New Roman"/>
          <w:sz w:val="24"/>
          <w:szCs w:val="24"/>
          <w:lang w:val="en-GB"/>
        </w:rPr>
        <w:t>assistant</w:t>
      </w:r>
      <w:r w:rsidRPr="000E6FA4">
        <w:rPr>
          <w:rFonts w:ascii="Times New Roman" w:hAnsi="Times New Roman" w:cs="Times New Roman"/>
          <w:sz w:val="24"/>
          <w:szCs w:val="24"/>
          <w:lang w:val="en-GB"/>
        </w:rPr>
        <w:t xml:space="preserve"> director also took part at the Regional workshop on </w:t>
      </w:r>
      <w:r w:rsidRPr="00CB6F40">
        <w:rPr>
          <w:rFonts w:ascii="Times New Roman" w:hAnsi="Times New Roman" w:cs="Times New Roman"/>
          <w:i/>
          <w:sz w:val="24"/>
          <w:szCs w:val="24"/>
          <w:lang w:val="en-GB"/>
        </w:rPr>
        <w:t xml:space="preserve">Anti-Corruption, Anti-Money Laundering and Countering </w:t>
      </w:r>
      <w:r w:rsidR="0008665C" w:rsidRPr="00CB6F40">
        <w:rPr>
          <w:rFonts w:ascii="Times New Roman" w:hAnsi="Times New Roman" w:cs="Times New Roman"/>
          <w:i/>
          <w:sz w:val="24"/>
          <w:szCs w:val="24"/>
          <w:lang w:val="en-GB"/>
        </w:rPr>
        <w:t>Terrorism</w:t>
      </w:r>
      <w:r w:rsidRPr="00CB6F40">
        <w:rPr>
          <w:rFonts w:ascii="Times New Roman" w:hAnsi="Times New Roman" w:cs="Times New Roman"/>
          <w:i/>
          <w:sz w:val="24"/>
          <w:szCs w:val="24"/>
          <w:lang w:val="en-GB"/>
        </w:rPr>
        <w:t xml:space="preserve"> Financing for public authorities and </w:t>
      </w:r>
      <w:r w:rsidR="0008665C" w:rsidRPr="00CB6F40">
        <w:rPr>
          <w:rFonts w:ascii="Times New Roman" w:hAnsi="Times New Roman" w:cs="Times New Roman"/>
          <w:i/>
          <w:sz w:val="24"/>
          <w:szCs w:val="24"/>
          <w:lang w:val="en-GB"/>
        </w:rPr>
        <w:t>civil</w:t>
      </w:r>
      <w:r w:rsidRPr="00CB6F40">
        <w:rPr>
          <w:rFonts w:ascii="Times New Roman" w:hAnsi="Times New Roman" w:cs="Times New Roman"/>
          <w:i/>
          <w:sz w:val="24"/>
          <w:szCs w:val="24"/>
          <w:lang w:val="en-GB"/>
        </w:rPr>
        <w:t xml:space="preserve"> society organisations</w:t>
      </w:r>
      <w:r w:rsidRPr="000E6FA4">
        <w:rPr>
          <w:rFonts w:ascii="Times New Roman" w:hAnsi="Times New Roman" w:cs="Times New Roman"/>
          <w:sz w:val="24"/>
          <w:szCs w:val="24"/>
          <w:lang w:val="en-GB"/>
        </w:rPr>
        <w:t>, organised by the Council of Europe Economic Crime and Cooperation Division, in Strasbourg on 20</w:t>
      </w:r>
      <w:r w:rsidR="00CB6F40">
        <w:rPr>
          <w:rFonts w:ascii="Times New Roman" w:hAnsi="Times New Roman" w:cs="Times New Roman"/>
          <w:sz w:val="24"/>
          <w:szCs w:val="24"/>
          <w:lang w:val="en-GB"/>
        </w:rPr>
        <w:t xml:space="preserve"> – </w:t>
      </w:r>
      <w:r w:rsidRPr="000E6FA4">
        <w:rPr>
          <w:rFonts w:ascii="Times New Roman" w:hAnsi="Times New Roman" w:cs="Times New Roman"/>
          <w:sz w:val="24"/>
          <w:szCs w:val="24"/>
          <w:lang w:val="en-GB"/>
        </w:rPr>
        <w:t xml:space="preserve">21.12.2022.  </w:t>
      </w:r>
    </w:p>
    <w:p w:rsidR="00D4230D" w:rsidRPr="000E6FA4" w:rsidRDefault="00225BCE" w:rsidP="001C056B">
      <w:pPr>
        <w:pStyle w:val="Heading2"/>
        <w:rPr>
          <w:lang w:val="en-GB"/>
        </w:rPr>
      </w:pPr>
      <w:bookmarkStart w:id="10" w:name="_Toc179546461"/>
      <w:r w:rsidRPr="000E6FA4">
        <w:rPr>
          <w:bCs/>
          <w:lang w:val="en-GB"/>
        </w:rPr>
        <w:t>Activities related to Conference of the Parties to the Warsaw Convention</w:t>
      </w:r>
      <w:bookmarkEnd w:id="10"/>
    </w:p>
    <w:p w:rsidR="00225BCE" w:rsidRPr="000E6FA4" w:rsidRDefault="00CB6F40" w:rsidP="00C7383E">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 APML a</w:t>
      </w:r>
      <w:r w:rsidR="00225BCE" w:rsidRPr="000E6FA4">
        <w:rPr>
          <w:rFonts w:ascii="Times New Roman" w:hAnsi="Times New Roman" w:cs="Times New Roman"/>
          <w:sz w:val="24"/>
          <w:szCs w:val="24"/>
          <w:lang w:val="en-GB"/>
        </w:rPr>
        <w:t>ssistant director participated at the 14</w:t>
      </w:r>
      <w:r w:rsidR="00225BCE" w:rsidRPr="0008665C">
        <w:rPr>
          <w:rFonts w:ascii="Times New Roman" w:hAnsi="Times New Roman" w:cs="Times New Roman"/>
          <w:sz w:val="24"/>
          <w:szCs w:val="24"/>
          <w:vertAlign w:val="superscript"/>
          <w:lang w:val="en-GB"/>
        </w:rPr>
        <w:t>th</w:t>
      </w:r>
      <w:r w:rsidR="0008665C">
        <w:rPr>
          <w:rFonts w:ascii="Times New Roman" w:hAnsi="Times New Roman" w:cs="Times New Roman"/>
          <w:sz w:val="24"/>
          <w:szCs w:val="24"/>
          <w:lang w:val="en-GB"/>
        </w:rPr>
        <w:t xml:space="preserve"> </w:t>
      </w:r>
      <w:r w:rsidR="00225BCE" w:rsidRPr="000E6FA4">
        <w:rPr>
          <w:rFonts w:ascii="Times New Roman" w:hAnsi="Times New Roman" w:cs="Times New Roman"/>
          <w:sz w:val="24"/>
          <w:szCs w:val="24"/>
          <w:lang w:val="en-GB"/>
        </w:rPr>
        <w:t xml:space="preserve">meeting of </w:t>
      </w:r>
      <w:r>
        <w:rPr>
          <w:rFonts w:ascii="Times New Roman" w:hAnsi="Times New Roman" w:cs="Times New Roman"/>
          <w:sz w:val="24"/>
          <w:szCs w:val="24"/>
          <w:lang w:val="en-GB"/>
        </w:rPr>
        <w:t>the P</w:t>
      </w:r>
      <w:r w:rsidR="00225BCE" w:rsidRPr="000E6FA4">
        <w:rPr>
          <w:rFonts w:ascii="Times New Roman" w:hAnsi="Times New Roman" w:cs="Times New Roman"/>
          <w:sz w:val="24"/>
          <w:szCs w:val="24"/>
          <w:lang w:val="en-GB"/>
        </w:rPr>
        <w:t>arties to the Warsaw Convention on Laundering, Search, Seizure and Confiscation of Proceeds from Crime and on the Financing of Terrorism, held in Strasbourg on 15</w:t>
      </w:r>
      <w:r>
        <w:rPr>
          <w:rFonts w:ascii="Times New Roman" w:hAnsi="Times New Roman" w:cs="Times New Roman"/>
          <w:sz w:val="24"/>
          <w:szCs w:val="24"/>
          <w:lang w:val="en-GB"/>
        </w:rPr>
        <w:t xml:space="preserve"> – </w:t>
      </w:r>
      <w:r w:rsidR="00225BCE" w:rsidRPr="000E6FA4">
        <w:rPr>
          <w:rFonts w:ascii="Times New Roman" w:hAnsi="Times New Roman" w:cs="Times New Roman"/>
          <w:sz w:val="24"/>
          <w:szCs w:val="24"/>
          <w:lang w:val="en-GB"/>
        </w:rPr>
        <w:t xml:space="preserve">17 November 2022. </w:t>
      </w:r>
    </w:p>
    <w:p w:rsidR="00225BCE" w:rsidRPr="000E6FA4" w:rsidRDefault="00225BCE" w:rsidP="00D4230D">
      <w:pPr>
        <w:pStyle w:val="Heading2"/>
        <w:rPr>
          <w:b w:val="0"/>
          <w:lang w:val="en-GB"/>
        </w:rPr>
      </w:pPr>
      <w:bookmarkStart w:id="11" w:name="_Toc179546462"/>
      <w:r w:rsidRPr="000E6FA4">
        <w:rPr>
          <w:bCs/>
          <w:lang w:val="en-GB"/>
        </w:rPr>
        <w:lastRenderedPageBreak/>
        <w:t>Egmont Group related activities</w:t>
      </w:r>
      <w:bookmarkEnd w:id="11"/>
    </w:p>
    <w:p w:rsidR="00CB6F40" w:rsidRPr="000E6FA4" w:rsidRDefault="00CB6F40" w:rsidP="00C7383E">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225BCE" w:rsidRPr="000E6FA4">
        <w:rPr>
          <w:rFonts w:ascii="Times New Roman" w:hAnsi="Times New Roman" w:cs="Times New Roman"/>
          <w:sz w:val="24"/>
          <w:szCs w:val="24"/>
          <w:lang w:val="en-GB"/>
        </w:rPr>
        <w:t xml:space="preserve">Egmont Group is a global association of financial intelligence units which promotes cooperation, financial intelligence exchange using the Egmont Group secure website, and expansion of its membership under a certain conditions enshrined in the Egmont Group Charter and Principles for Information Exchange. It currently has 166 members. </w:t>
      </w:r>
      <w:r>
        <w:rPr>
          <w:rFonts w:ascii="Times New Roman" w:hAnsi="Times New Roman" w:cs="Times New Roman"/>
          <w:sz w:val="24"/>
          <w:szCs w:val="24"/>
          <w:lang w:val="en-GB"/>
        </w:rPr>
        <w:t xml:space="preserve">The </w:t>
      </w:r>
      <w:r w:rsidR="00225BCE" w:rsidRPr="000E6FA4">
        <w:rPr>
          <w:rFonts w:ascii="Times New Roman" w:hAnsi="Times New Roman" w:cs="Times New Roman"/>
          <w:sz w:val="24"/>
          <w:szCs w:val="24"/>
          <w:lang w:val="en-GB"/>
        </w:rPr>
        <w:t>Egmont Group meets once a year in a plenary session, and once more at the level of its working groups. In 2022, even two virtual Heads of FIUs (</w:t>
      </w:r>
      <w:proofErr w:type="spellStart"/>
      <w:r w:rsidR="00225BCE" w:rsidRPr="000E6FA4">
        <w:rPr>
          <w:rFonts w:ascii="Times New Roman" w:hAnsi="Times New Roman" w:cs="Times New Roman"/>
          <w:sz w:val="24"/>
          <w:szCs w:val="24"/>
          <w:lang w:val="en-GB"/>
        </w:rPr>
        <w:t>HoFIU</w:t>
      </w:r>
      <w:proofErr w:type="spellEnd"/>
      <w:r w:rsidR="00225BCE" w:rsidRPr="000E6FA4">
        <w:rPr>
          <w:rFonts w:ascii="Times New Roman" w:hAnsi="Times New Roman" w:cs="Times New Roman"/>
          <w:sz w:val="24"/>
          <w:szCs w:val="24"/>
          <w:lang w:val="en-GB"/>
        </w:rPr>
        <w:t xml:space="preserve">) meetings were held for the purpose of improving the EG IT system, on 1 February 2022 and 13 December 2022. </w:t>
      </w:r>
      <w:r>
        <w:rPr>
          <w:rFonts w:ascii="Times New Roman" w:hAnsi="Times New Roman" w:cs="Times New Roman"/>
          <w:sz w:val="24"/>
          <w:szCs w:val="24"/>
          <w:lang w:val="en-GB"/>
        </w:rPr>
        <w:t xml:space="preserve">The </w:t>
      </w:r>
      <w:r w:rsidR="00225BCE" w:rsidRPr="000E6FA4">
        <w:rPr>
          <w:rFonts w:ascii="Times New Roman" w:hAnsi="Times New Roman" w:cs="Times New Roman"/>
          <w:sz w:val="24"/>
          <w:szCs w:val="24"/>
          <w:lang w:val="en-GB"/>
        </w:rPr>
        <w:t xml:space="preserve">EG </w:t>
      </w:r>
      <w:r>
        <w:rPr>
          <w:rFonts w:ascii="Times New Roman" w:hAnsi="Times New Roman" w:cs="Times New Roman"/>
          <w:sz w:val="24"/>
          <w:szCs w:val="24"/>
          <w:lang w:val="en-GB"/>
        </w:rPr>
        <w:t>P</w:t>
      </w:r>
      <w:r w:rsidR="00225BCE" w:rsidRPr="000E6FA4">
        <w:rPr>
          <w:rFonts w:ascii="Times New Roman" w:hAnsi="Times New Roman" w:cs="Times New Roman"/>
          <w:sz w:val="24"/>
          <w:szCs w:val="24"/>
          <w:lang w:val="en-GB"/>
        </w:rPr>
        <w:t xml:space="preserve">lenary </w:t>
      </w:r>
      <w:r>
        <w:rPr>
          <w:rFonts w:ascii="Times New Roman" w:hAnsi="Times New Roman" w:cs="Times New Roman"/>
          <w:sz w:val="24"/>
          <w:szCs w:val="24"/>
          <w:lang w:val="en-GB"/>
        </w:rPr>
        <w:t xml:space="preserve">Meeting </w:t>
      </w:r>
      <w:r w:rsidR="00225BCE" w:rsidRPr="000E6FA4">
        <w:rPr>
          <w:rFonts w:ascii="Times New Roman" w:hAnsi="Times New Roman" w:cs="Times New Roman"/>
          <w:sz w:val="24"/>
          <w:szCs w:val="24"/>
          <w:lang w:val="en-GB"/>
        </w:rPr>
        <w:t>was held in Riga, Latvia, from 10</w:t>
      </w:r>
      <w:r>
        <w:rPr>
          <w:rFonts w:ascii="Times New Roman" w:hAnsi="Times New Roman" w:cs="Times New Roman"/>
          <w:sz w:val="24"/>
          <w:szCs w:val="24"/>
          <w:lang w:val="en-GB"/>
        </w:rPr>
        <w:t>–</w:t>
      </w:r>
      <w:r w:rsidR="00225BCE" w:rsidRPr="000E6FA4">
        <w:rPr>
          <w:rFonts w:ascii="Times New Roman" w:hAnsi="Times New Roman" w:cs="Times New Roman"/>
          <w:sz w:val="24"/>
          <w:szCs w:val="24"/>
          <w:lang w:val="en-GB"/>
        </w:rPr>
        <w:t>1</w:t>
      </w:r>
      <w:r>
        <w:rPr>
          <w:rFonts w:ascii="Times New Roman" w:hAnsi="Times New Roman" w:cs="Times New Roman"/>
          <w:sz w:val="24"/>
          <w:szCs w:val="24"/>
          <w:lang w:val="en-GB"/>
        </w:rPr>
        <w:t xml:space="preserve">5.7.2022 Two </w:t>
      </w:r>
      <w:r w:rsidR="00225BCE" w:rsidRPr="000E6FA4">
        <w:rPr>
          <w:rFonts w:ascii="Times New Roman" w:hAnsi="Times New Roman" w:cs="Times New Roman"/>
          <w:sz w:val="24"/>
          <w:szCs w:val="24"/>
          <w:lang w:val="en-GB"/>
        </w:rPr>
        <w:t xml:space="preserve">APML </w:t>
      </w:r>
      <w:r>
        <w:rPr>
          <w:rFonts w:ascii="Times New Roman" w:hAnsi="Times New Roman" w:cs="Times New Roman"/>
          <w:sz w:val="24"/>
          <w:szCs w:val="24"/>
          <w:lang w:val="en-GB"/>
        </w:rPr>
        <w:t xml:space="preserve">staff took part, </w:t>
      </w:r>
      <w:r w:rsidR="00225BCE" w:rsidRPr="000E6FA4">
        <w:rPr>
          <w:rFonts w:ascii="Times New Roman" w:hAnsi="Times New Roman" w:cs="Times New Roman"/>
          <w:sz w:val="24"/>
          <w:szCs w:val="24"/>
          <w:lang w:val="en-GB"/>
        </w:rPr>
        <w:t xml:space="preserve">including an assistant director. The assistant director attended the Membership, Support and Compliance Working Group – MSCWG meetings, the first of which was held in a virtual format on 3.2.2022 and the second in the course of </w:t>
      </w:r>
      <w:r w:rsidR="0008665C" w:rsidRPr="000E6FA4">
        <w:rPr>
          <w:rFonts w:ascii="Times New Roman" w:hAnsi="Times New Roman" w:cs="Times New Roman"/>
          <w:sz w:val="24"/>
          <w:szCs w:val="24"/>
          <w:lang w:val="en-GB"/>
        </w:rPr>
        <w:t>the</w:t>
      </w:r>
      <w:r w:rsidR="00225BCE" w:rsidRPr="000E6FA4">
        <w:rPr>
          <w:rFonts w:ascii="Times New Roman" w:hAnsi="Times New Roman" w:cs="Times New Roman"/>
          <w:sz w:val="24"/>
          <w:szCs w:val="24"/>
          <w:lang w:val="en-GB"/>
        </w:rPr>
        <w:t xml:space="preserve"> Plenary on 11-12.7.2022. The Egmont Group </w:t>
      </w:r>
      <w:r>
        <w:rPr>
          <w:rFonts w:ascii="Times New Roman" w:hAnsi="Times New Roman" w:cs="Times New Roman"/>
          <w:sz w:val="24"/>
          <w:szCs w:val="24"/>
          <w:lang w:val="en-GB"/>
        </w:rPr>
        <w:t xml:space="preserve">has its regional subgroups, including the </w:t>
      </w:r>
      <w:r w:rsidRPr="000E6FA4">
        <w:rPr>
          <w:rFonts w:ascii="Times New Roman" w:hAnsi="Times New Roman" w:cs="Times New Roman"/>
          <w:sz w:val="24"/>
          <w:szCs w:val="24"/>
          <w:lang w:val="en-GB"/>
        </w:rPr>
        <w:t>Europe II Regional Group</w:t>
      </w:r>
      <w:r>
        <w:rPr>
          <w:rFonts w:ascii="Times New Roman" w:hAnsi="Times New Roman" w:cs="Times New Roman"/>
          <w:sz w:val="24"/>
          <w:szCs w:val="24"/>
          <w:lang w:val="en-GB"/>
        </w:rPr>
        <w:t xml:space="preserve">, to which the </w:t>
      </w:r>
      <w:r w:rsidR="00225BCE" w:rsidRPr="000E6FA4">
        <w:rPr>
          <w:rFonts w:ascii="Times New Roman" w:hAnsi="Times New Roman" w:cs="Times New Roman"/>
          <w:sz w:val="24"/>
          <w:szCs w:val="24"/>
          <w:lang w:val="en-GB"/>
        </w:rPr>
        <w:t>APML belongs</w:t>
      </w:r>
      <w:r>
        <w:rPr>
          <w:rFonts w:ascii="Times New Roman" w:hAnsi="Times New Roman" w:cs="Times New Roman"/>
          <w:sz w:val="24"/>
          <w:szCs w:val="24"/>
          <w:lang w:val="en-GB"/>
        </w:rPr>
        <w:t>, and which</w:t>
      </w:r>
      <w:r w:rsidR="00225BCE" w:rsidRPr="000E6FA4">
        <w:rPr>
          <w:rFonts w:ascii="Times New Roman" w:hAnsi="Times New Roman" w:cs="Times New Roman"/>
          <w:sz w:val="24"/>
          <w:szCs w:val="24"/>
          <w:lang w:val="en-GB"/>
        </w:rPr>
        <w:t xml:space="preserve"> had its meeting</w:t>
      </w:r>
      <w:r>
        <w:rPr>
          <w:rFonts w:ascii="Times New Roman" w:hAnsi="Times New Roman" w:cs="Times New Roman"/>
          <w:sz w:val="24"/>
          <w:szCs w:val="24"/>
          <w:lang w:val="en-GB"/>
        </w:rPr>
        <w:t>s</w:t>
      </w:r>
      <w:r w:rsidR="00225BCE" w:rsidRPr="000E6FA4">
        <w:rPr>
          <w:rFonts w:ascii="Times New Roman" w:hAnsi="Times New Roman" w:cs="Times New Roman"/>
          <w:sz w:val="24"/>
          <w:szCs w:val="24"/>
          <w:lang w:val="en-GB"/>
        </w:rPr>
        <w:t xml:space="preserve"> virtually on 8 February 2022, and in the course of the Plenary 12</w:t>
      </w:r>
      <w:r>
        <w:rPr>
          <w:rFonts w:ascii="Times New Roman" w:hAnsi="Times New Roman" w:cs="Times New Roman"/>
          <w:sz w:val="24"/>
          <w:szCs w:val="24"/>
          <w:lang w:val="en-GB"/>
        </w:rPr>
        <w:t xml:space="preserve"> – </w:t>
      </w:r>
      <w:r w:rsidR="00225BCE" w:rsidRPr="000E6FA4">
        <w:rPr>
          <w:rFonts w:ascii="Times New Roman" w:hAnsi="Times New Roman" w:cs="Times New Roman"/>
          <w:sz w:val="24"/>
          <w:szCs w:val="24"/>
          <w:lang w:val="en-GB"/>
        </w:rPr>
        <w:t>12</w:t>
      </w:r>
      <w:r>
        <w:rPr>
          <w:rFonts w:ascii="Times New Roman" w:hAnsi="Times New Roman" w:cs="Times New Roman"/>
          <w:sz w:val="24"/>
          <w:szCs w:val="24"/>
          <w:lang w:val="en-GB"/>
        </w:rPr>
        <w:t xml:space="preserve"> </w:t>
      </w:r>
      <w:r w:rsidR="00225BCE" w:rsidRPr="000E6FA4">
        <w:rPr>
          <w:rFonts w:ascii="Times New Roman" w:hAnsi="Times New Roman" w:cs="Times New Roman"/>
          <w:sz w:val="24"/>
          <w:szCs w:val="24"/>
          <w:lang w:val="en-GB"/>
        </w:rPr>
        <w:t xml:space="preserve">July 2022. The third Europe II Regional Group meeting was held on the </w:t>
      </w:r>
      <w:r w:rsidR="0008665C" w:rsidRPr="000E6FA4">
        <w:rPr>
          <w:rFonts w:ascii="Times New Roman" w:hAnsi="Times New Roman" w:cs="Times New Roman"/>
          <w:sz w:val="24"/>
          <w:szCs w:val="24"/>
          <w:lang w:val="en-GB"/>
        </w:rPr>
        <w:t>margins</w:t>
      </w:r>
      <w:r w:rsidR="00225BCE" w:rsidRPr="000E6FA4">
        <w:rPr>
          <w:rFonts w:ascii="Times New Roman" w:hAnsi="Times New Roman" w:cs="Times New Roman"/>
          <w:sz w:val="24"/>
          <w:szCs w:val="24"/>
          <w:lang w:val="en-GB"/>
        </w:rPr>
        <w:t xml:space="preserve"> of the MONEYVAL Plenary in Strasbourg on 9 December 2022. </w:t>
      </w:r>
    </w:p>
    <w:p w:rsidR="00225BCE" w:rsidRPr="000E6FA4" w:rsidRDefault="00225BCE" w:rsidP="00D4230D">
      <w:pPr>
        <w:pStyle w:val="Heading2"/>
        <w:rPr>
          <w:b w:val="0"/>
          <w:lang w:val="en-GB"/>
        </w:rPr>
      </w:pPr>
      <w:bookmarkStart w:id="12" w:name="_Toc179546463"/>
      <w:r w:rsidRPr="000E6FA4">
        <w:rPr>
          <w:bCs/>
          <w:lang w:val="en-GB"/>
        </w:rPr>
        <w:t xml:space="preserve">Cooperation with the </w:t>
      </w:r>
      <w:r w:rsidR="0008665C" w:rsidRPr="000E6FA4">
        <w:rPr>
          <w:bCs/>
          <w:lang w:val="en-GB"/>
        </w:rPr>
        <w:t>Eurasian</w:t>
      </w:r>
      <w:r w:rsidRPr="000E6FA4">
        <w:rPr>
          <w:bCs/>
          <w:lang w:val="en-GB"/>
        </w:rPr>
        <w:t xml:space="preserve"> Group (EAG)</w:t>
      </w:r>
      <w:bookmarkEnd w:id="12"/>
    </w:p>
    <w:p w:rsidR="00225BCE" w:rsidRPr="000E6FA4" w:rsidRDefault="003F537F" w:rsidP="00C7383E">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225BCE" w:rsidRPr="000E6FA4">
        <w:rPr>
          <w:rFonts w:ascii="Times New Roman" w:hAnsi="Times New Roman" w:cs="Times New Roman"/>
          <w:sz w:val="24"/>
          <w:szCs w:val="24"/>
          <w:lang w:val="en-GB"/>
        </w:rPr>
        <w:t xml:space="preserve">APML has the status of observer in the EAG </w:t>
      </w:r>
      <w:r>
        <w:rPr>
          <w:rFonts w:ascii="Times New Roman" w:hAnsi="Times New Roman" w:cs="Times New Roman"/>
          <w:sz w:val="24"/>
          <w:szCs w:val="24"/>
          <w:lang w:val="en-GB"/>
        </w:rPr>
        <w:t xml:space="preserve">as of </w:t>
      </w:r>
      <w:r w:rsidR="00225BCE" w:rsidRPr="000E6FA4">
        <w:rPr>
          <w:rFonts w:ascii="Times New Roman" w:hAnsi="Times New Roman" w:cs="Times New Roman"/>
          <w:sz w:val="24"/>
          <w:szCs w:val="24"/>
          <w:lang w:val="en-GB"/>
        </w:rPr>
        <w:t xml:space="preserve">2010. </w:t>
      </w:r>
      <w:r>
        <w:rPr>
          <w:rFonts w:ascii="Times New Roman" w:hAnsi="Times New Roman" w:cs="Times New Roman"/>
          <w:sz w:val="24"/>
          <w:szCs w:val="24"/>
          <w:lang w:val="en-GB"/>
        </w:rPr>
        <w:t xml:space="preserve">The </w:t>
      </w:r>
      <w:r w:rsidR="00225BCE" w:rsidRPr="000E6FA4">
        <w:rPr>
          <w:rFonts w:ascii="Times New Roman" w:hAnsi="Times New Roman" w:cs="Times New Roman"/>
          <w:sz w:val="24"/>
          <w:szCs w:val="24"/>
          <w:lang w:val="en-GB"/>
        </w:rPr>
        <w:t xml:space="preserve">EAG is an FATF-style regional body (FSRB), a MONEYVAL equivalent, comprising 9 countries: Belarus, China, Kazakhstan, </w:t>
      </w:r>
      <w:r w:rsidR="0008665C" w:rsidRPr="000E6FA4">
        <w:rPr>
          <w:rFonts w:ascii="Times New Roman" w:hAnsi="Times New Roman" w:cs="Times New Roman"/>
          <w:sz w:val="24"/>
          <w:szCs w:val="24"/>
          <w:lang w:val="en-GB"/>
        </w:rPr>
        <w:t>Kyrgyzstan</w:t>
      </w:r>
      <w:r w:rsidR="00225BCE" w:rsidRPr="000E6FA4">
        <w:rPr>
          <w:rFonts w:ascii="Times New Roman" w:hAnsi="Times New Roman" w:cs="Times New Roman"/>
          <w:sz w:val="24"/>
          <w:szCs w:val="24"/>
          <w:lang w:val="en-GB"/>
        </w:rPr>
        <w:t xml:space="preserve">, India, Russian Federation, Tajikistan, Turkmenistan and Uzbekistan. Two APML staff members participated in 2022 at a CFT workshop which addressed FT methods through the misuse of NPOs. The workshop, which was co-organised by the OSCE, FIU of Russian Federation and EAG, took place in Bishkek, </w:t>
      </w:r>
      <w:r w:rsidR="0008665C" w:rsidRPr="000E6FA4">
        <w:rPr>
          <w:rFonts w:ascii="Times New Roman" w:hAnsi="Times New Roman" w:cs="Times New Roman"/>
          <w:sz w:val="24"/>
          <w:szCs w:val="24"/>
          <w:lang w:val="en-GB"/>
        </w:rPr>
        <w:t>Kyrgyzstan</w:t>
      </w:r>
      <w:r w:rsidR="00225BCE" w:rsidRPr="000E6FA4">
        <w:rPr>
          <w:rFonts w:ascii="Times New Roman" w:hAnsi="Times New Roman" w:cs="Times New Roman"/>
          <w:sz w:val="24"/>
          <w:szCs w:val="24"/>
          <w:lang w:val="en-GB"/>
        </w:rPr>
        <w:t>, on 9</w:t>
      </w:r>
      <w:r w:rsidR="002B3D8F">
        <w:rPr>
          <w:rFonts w:ascii="Times New Roman" w:hAnsi="Times New Roman" w:cs="Times New Roman"/>
          <w:sz w:val="24"/>
          <w:szCs w:val="24"/>
          <w:lang w:val="en-GB"/>
        </w:rPr>
        <w:t>–</w:t>
      </w:r>
      <w:r w:rsidR="00225BCE" w:rsidRPr="000E6FA4">
        <w:rPr>
          <w:rFonts w:ascii="Times New Roman" w:hAnsi="Times New Roman" w:cs="Times New Roman"/>
          <w:sz w:val="24"/>
          <w:szCs w:val="24"/>
          <w:lang w:val="en-GB"/>
        </w:rPr>
        <w:t>11 November 2022. Moreover, two APML staff took part at the 37</w:t>
      </w:r>
      <w:r w:rsidR="00225BCE" w:rsidRPr="003F537F">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00225BCE" w:rsidRPr="000E6FA4">
        <w:rPr>
          <w:rFonts w:ascii="Times New Roman" w:hAnsi="Times New Roman" w:cs="Times New Roman"/>
          <w:sz w:val="24"/>
          <w:szCs w:val="24"/>
          <w:lang w:val="en-GB"/>
        </w:rPr>
        <w:t>EAG Plenary held</w:t>
      </w:r>
      <w:r>
        <w:rPr>
          <w:rFonts w:ascii="Times New Roman" w:hAnsi="Times New Roman" w:cs="Times New Roman"/>
          <w:sz w:val="24"/>
          <w:szCs w:val="24"/>
          <w:lang w:val="en-GB"/>
        </w:rPr>
        <w:t xml:space="preserve"> in Dushanbe, Tajikistan, on 21–</w:t>
      </w:r>
      <w:r w:rsidR="00225BCE" w:rsidRPr="000E6FA4">
        <w:rPr>
          <w:rFonts w:ascii="Times New Roman" w:hAnsi="Times New Roman" w:cs="Times New Roman"/>
          <w:sz w:val="24"/>
          <w:szCs w:val="24"/>
          <w:lang w:val="en-GB"/>
        </w:rPr>
        <w:t xml:space="preserve">25 November 2022, where they held a presentation on new ML typologies. </w:t>
      </w:r>
    </w:p>
    <w:p w:rsidR="00225BCE" w:rsidRPr="000E6FA4" w:rsidRDefault="00225BCE"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As in previous years, the APML </w:t>
      </w:r>
      <w:r w:rsidR="002B3D8F">
        <w:rPr>
          <w:rFonts w:ascii="Times New Roman" w:hAnsi="Times New Roman" w:cs="Times New Roman"/>
          <w:sz w:val="24"/>
          <w:szCs w:val="24"/>
          <w:lang w:val="en-GB"/>
        </w:rPr>
        <w:t xml:space="preserve">received and accepted </w:t>
      </w:r>
      <w:r w:rsidRPr="000E6FA4">
        <w:rPr>
          <w:rFonts w:ascii="Times New Roman" w:hAnsi="Times New Roman" w:cs="Times New Roman"/>
          <w:sz w:val="24"/>
          <w:szCs w:val="24"/>
          <w:lang w:val="en-GB"/>
        </w:rPr>
        <w:t>invitations to provide technical support, as much as it</w:t>
      </w:r>
      <w:r w:rsidR="002B3D8F">
        <w:rPr>
          <w:rFonts w:ascii="Times New Roman" w:hAnsi="Times New Roman" w:cs="Times New Roman"/>
          <w:sz w:val="24"/>
          <w:szCs w:val="24"/>
          <w:lang w:val="en-GB"/>
        </w:rPr>
        <w:t>s capacities allowed</w:t>
      </w:r>
      <w:r w:rsidRPr="000E6FA4">
        <w:rPr>
          <w:rFonts w:ascii="Times New Roman" w:hAnsi="Times New Roman" w:cs="Times New Roman"/>
          <w:sz w:val="24"/>
          <w:szCs w:val="24"/>
          <w:lang w:val="en-GB"/>
        </w:rPr>
        <w:t>, to EAG FIUs. Thus, on 20</w:t>
      </w:r>
      <w:r w:rsidR="002B3D8F">
        <w:rPr>
          <w:rFonts w:ascii="Times New Roman" w:hAnsi="Times New Roman" w:cs="Times New Roman"/>
          <w:sz w:val="24"/>
          <w:szCs w:val="24"/>
          <w:lang w:val="en-GB"/>
        </w:rPr>
        <w:t xml:space="preserve"> – </w:t>
      </w:r>
      <w:r w:rsidRPr="000E6FA4">
        <w:rPr>
          <w:rFonts w:ascii="Times New Roman" w:hAnsi="Times New Roman" w:cs="Times New Roman"/>
          <w:sz w:val="24"/>
          <w:szCs w:val="24"/>
          <w:lang w:val="en-GB"/>
        </w:rPr>
        <w:t xml:space="preserve">21 October 2022, it </w:t>
      </w:r>
      <w:r w:rsidR="002B3D8F">
        <w:rPr>
          <w:rFonts w:ascii="Times New Roman" w:hAnsi="Times New Roman" w:cs="Times New Roman"/>
          <w:sz w:val="24"/>
          <w:szCs w:val="24"/>
          <w:lang w:val="en-GB"/>
        </w:rPr>
        <w:t xml:space="preserve">held </w:t>
      </w:r>
      <w:r w:rsidRPr="000E6FA4">
        <w:rPr>
          <w:rFonts w:ascii="Times New Roman" w:hAnsi="Times New Roman" w:cs="Times New Roman"/>
          <w:sz w:val="24"/>
          <w:szCs w:val="24"/>
          <w:lang w:val="en-GB"/>
        </w:rPr>
        <w:t xml:space="preserve">meetings in Belgrade with director of FIU </w:t>
      </w:r>
      <w:r w:rsidR="0008665C" w:rsidRPr="000E6FA4">
        <w:rPr>
          <w:rFonts w:ascii="Times New Roman" w:hAnsi="Times New Roman" w:cs="Times New Roman"/>
          <w:sz w:val="24"/>
          <w:szCs w:val="24"/>
          <w:lang w:val="en-GB"/>
        </w:rPr>
        <w:t>Kirgizstan</w:t>
      </w:r>
      <w:r w:rsidRPr="000E6FA4">
        <w:rPr>
          <w:rFonts w:ascii="Times New Roman" w:hAnsi="Times New Roman" w:cs="Times New Roman"/>
          <w:sz w:val="24"/>
          <w:szCs w:val="24"/>
          <w:lang w:val="en-GB"/>
        </w:rPr>
        <w:t xml:space="preserve"> and his close associate with the aim of </w:t>
      </w:r>
      <w:r w:rsidR="002B3D8F">
        <w:rPr>
          <w:rFonts w:ascii="Times New Roman" w:hAnsi="Times New Roman" w:cs="Times New Roman"/>
          <w:sz w:val="24"/>
          <w:szCs w:val="24"/>
          <w:lang w:val="en-GB"/>
        </w:rPr>
        <w:t xml:space="preserve">presenting </w:t>
      </w:r>
      <w:r w:rsidRPr="000E6FA4">
        <w:rPr>
          <w:rFonts w:ascii="Times New Roman" w:hAnsi="Times New Roman" w:cs="Times New Roman"/>
          <w:sz w:val="24"/>
          <w:szCs w:val="24"/>
          <w:lang w:val="en-GB"/>
        </w:rPr>
        <w:t>APML ICT infrastructure, including the designated persons search tool.</w:t>
      </w:r>
    </w:p>
    <w:p w:rsidR="00225BCE" w:rsidRPr="000E6FA4" w:rsidRDefault="00225BCE" w:rsidP="00D4230D">
      <w:pPr>
        <w:pStyle w:val="Heading2"/>
        <w:rPr>
          <w:b w:val="0"/>
          <w:lang w:val="en-GB"/>
        </w:rPr>
      </w:pPr>
      <w:bookmarkStart w:id="13" w:name="_Toc179546464"/>
      <w:r w:rsidRPr="000E6FA4">
        <w:rPr>
          <w:bCs/>
          <w:lang w:val="en-GB"/>
        </w:rPr>
        <w:t>Other International Cooperation</w:t>
      </w:r>
      <w:bookmarkEnd w:id="13"/>
      <w:r w:rsidRPr="000E6FA4">
        <w:rPr>
          <w:b w:val="0"/>
          <w:lang w:val="en-GB"/>
        </w:rPr>
        <w:t xml:space="preserve"> </w:t>
      </w:r>
    </w:p>
    <w:p w:rsidR="00225BCE" w:rsidRPr="000E6FA4" w:rsidRDefault="00225BCE"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APML has long standing partnerships with several organisations, programmes and initiatives aiming to add value to the work APML does. In this context, we should highlight the following: </w:t>
      </w:r>
    </w:p>
    <w:p w:rsidR="00225BCE" w:rsidRPr="000E6FA4" w:rsidRDefault="004D4A7D" w:rsidP="00C7383E">
      <w:pPr>
        <w:pStyle w:val="ListParagraph"/>
        <w:numPr>
          <w:ilvl w:val="0"/>
          <w:numId w:val="1"/>
        </w:numPr>
        <w:spacing w:line="240" w:lineRule="auto"/>
        <w:jc w:val="both"/>
        <w:rPr>
          <w:rFonts w:ascii="Times New Roman" w:hAnsi="Times New Roman" w:cs="Times New Roman"/>
          <w:b/>
          <w:sz w:val="24"/>
          <w:szCs w:val="24"/>
          <w:lang w:val="en-GB"/>
        </w:rPr>
      </w:pPr>
      <w:r w:rsidRPr="000E6FA4">
        <w:rPr>
          <w:rFonts w:ascii="Times New Roman" w:hAnsi="Times New Roman" w:cs="Times New Roman"/>
          <w:sz w:val="24"/>
          <w:szCs w:val="24"/>
          <w:lang w:val="en-GB"/>
        </w:rPr>
        <w:t xml:space="preserve">EU Horizontal Facility-funded EU/Council of Europe joint programme. A closing regional conference was organised in </w:t>
      </w:r>
      <w:proofErr w:type="spellStart"/>
      <w:r w:rsidRPr="000E6FA4">
        <w:rPr>
          <w:rFonts w:ascii="Times New Roman" w:hAnsi="Times New Roman" w:cs="Times New Roman"/>
          <w:sz w:val="24"/>
          <w:szCs w:val="24"/>
          <w:lang w:val="en-GB"/>
        </w:rPr>
        <w:t>Budva</w:t>
      </w:r>
      <w:proofErr w:type="spellEnd"/>
      <w:r w:rsidRPr="000E6FA4">
        <w:rPr>
          <w:rFonts w:ascii="Times New Roman" w:hAnsi="Times New Roman" w:cs="Times New Roman"/>
          <w:sz w:val="24"/>
          <w:szCs w:val="24"/>
          <w:lang w:val="en-GB"/>
        </w:rPr>
        <w:t>, Montenegro, on 27</w:t>
      </w:r>
      <w:r w:rsidR="002B3D8F">
        <w:rPr>
          <w:rFonts w:ascii="Times New Roman" w:hAnsi="Times New Roman" w:cs="Times New Roman"/>
          <w:sz w:val="24"/>
          <w:szCs w:val="24"/>
          <w:lang w:val="en-GB"/>
        </w:rPr>
        <w:t>–</w:t>
      </w:r>
      <w:r w:rsidRPr="000E6FA4">
        <w:rPr>
          <w:rFonts w:ascii="Times New Roman" w:hAnsi="Times New Roman" w:cs="Times New Roman"/>
          <w:sz w:val="24"/>
          <w:szCs w:val="24"/>
          <w:lang w:val="en-GB"/>
        </w:rPr>
        <w:t xml:space="preserve">28 September 2022 to mark the end of the regional risk assessment of TF risk in </w:t>
      </w:r>
      <w:r w:rsidR="002B3D8F" w:rsidRPr="000E6FA4">
        <w:rPr>
          <w:rFonts w:ascii="Times New Roman" w:hAnsi="Times New Roman" w:cs="Times New Roman"/>
          <w:sz w:val="24"/>
          <w:szCs w:val="24"/>
          <w:lang w:val="en-GB"/>
        </w:rPr>
        <w:t>the</w:t>
      </w:r>
      <w:r w:rsidRPr="000E6FA4">
        <w:rPr>
          <w:rFonts w:ascii="Times New Roman" w:hAnsi="Times New Roman" w:cs="Times New Roman"/>
          <w:sz w:val="24"/>
          <w:szCs w:val="24"/>
          <w:lang w:val="en-GB"/>
        </w:rPr>
        <w:t xml:space="preserve"> NPO sector. The conference was attended by APML director; </w:t>
      </w:r>
    </w:p>
    <w:p w:rsidR="00225BCE" w:rsidRPr="000E6FA4" w:rsidRDefault="00225BCE" w:rsidP="00C7383E">
      <w:pPr>
        <w:pStyle w:val="ListParagraph"/>
        <w:numPr>
          <w:ilvl w:val="0"/>
          <w:numId w:val="1"/>
        </w:numPr>
        <w:spacing w:line="240" w:lineRule="auto"/>
        <w:jc w:val="both"/>
        <w:rPr>
          <w:rFonts w:ascii="Times New Roman" w:hAnsi="Times New Roman" w:cs="Times New Roman"/>
          <w:b/>
          <w:sz w:val="24"/>
          <w:szCs w:val="24"/>
          <w:lang w:val="en-GB"/>
        </w:rPr>
      </w:pPr>
      <w:r w:rsidRPr="000E6FA4">
        <w:rPr>
          <w:rFonts w:ascii="Times New Roman" w:hAnsi="Times New Roman" w:cs="Times New Roman"/>
          <w:sz w:val="24"/>
          <w:szCs w:val="24"/>
          <w:lang w:val="en-GB"/>
        </w:rPr>
        <w:t xml:space="preserve">Centre for Security Cooperation RACVIAC, </w:t>
      </w:r>
      <w:proofErr w:type="spellStart"/>
      <w:r w:rsidRPr="000E6FA4">
        <w:rPr>
          <w:rFonts w:ascii="Times New Roman" w:hAnsi="Times New Roman" w:cs="Times New Roman"/>
          <w:sz w:val="24"/>
          <w:szCs w:val="24"/>
          <w:lang w:val="en-GB"/>
        </w:rPr>
        <w:t>Rakitje</w:t>
      </w:r>
      <w:proofErr w:type="spellEnd"/>
      <w:r w:rsidRPr="000E6FA4">
        <w:rPr>
          <w:rFonts w:ascii="Times New Roman" w:hAnsi="Times New Roman" w:cs="Times New Roman"/>
          <w:sz w:val="24"/>
          <w:szCs w:val="24"/>
          <w:lang w:val="en-GB"/>
        </w:rPr>
        <w:t xml:space="preserve">, Croatia. On 4 October 2022 a Conference on the Implementation of UNSCR 1373 Mechanism in the Western Balkans - Case studies.  APML director was amongst the conference </w:t>
      </w:r>
      <w:r w:rsidR="0008665C" w:rsidRPr="000E6FA4">
        <w:rPr>
          <w:rFonts w:ascii="Times New Roman" w:hAnsi="Times New Roman" w:cs="Times New Roman"/>
          <w:sz w:val="24"/>
          <w:szCs w:val="24"/>
          <w:lang w:val="en-GB"/>
        </w:rPr>
        <w:t>panellists</w:t>
      </w:r>
      <w:r w:rsidRPr="000E6FA4">
        <w:rPr>
          <w:rFonts w:ascii="Times New Roman" w:hAnsi="Times New Roman" w:cs="Times New Roman"/>
          <w:sz w:val="24"/>
          <w:szCs w:val="24"/>
          <w:lang w:val="en-GB"/>
        </w:rPr>
        <w:t xml:space="preserve">. </w:t>
      </w:r>
    </w:p>
    <w:p w:rsidR="00225BCE" w:rsidRPr="000E6FA4" w:rsidRDefault="00225BCE" w:rsidP="00C7383E">
      <w:pPr>
        <w:pStyle w:val="ListParagraph"/>
        <w:numPr>
          <w:ilvl w:val="0"/>
          <w:numId w:val="1"/>
        </w:numPr>
        <w:spacing w:line="240" w:lineRule="auto"/>
        <w:jc w:val="both"/>
        <w:rPr>
          <w:rFonts w:ascii="Times New Roman" w:hAnsi="Times New Roman" w:cs="Times New Roman"/>
          <w:b/>
          <w:sz w:val="24"/>
          <w:szCs w:val="24"/>
          <w:lang w:val="en-GB"/>
        </w:rPr>
      </w:pPr>
      <w:r w:rsidRPr="000E6FA4">
        <w:rPr>
          <w:rFonts w:ascii="Times New Roman" w:hAnsi="Times New Roman" w:cs="Times New Roman"/>
          <w:sz w:val="24"/>
          <w:szCs w:val="24"/>
          <w:lang w:val="en-GB"/>
        </w:rPr>
        <w:t xml:space="preserve">Workshop on the prevention </w:t>
      </w:r>
      <w:r w:rsidR="002B3D8F">
        <w:rPr>
          <w:rFonts w:ascii="Times New Roman" w:hAnsi="Times New Roman" w:cs="Times New Roman"/>
          <w:sz w:val="24"/>
          <w:szCs w:val="24"/>
          <w:lang w:val="en-GB"/>
        </w:rPr>
        <w:t>of</w:t>
      </w:r>
      <w:r w:rsidRPr="000E6FA4">
        <w:rPr>
          <w:rFonts w:ascii="Times New Roman" w:hAnsi="Times New Roman" w:cs="Times New Roman"/>
          <w:sz w:val="24"/>
          <w:szCs w:val="24"/>
          <w:lang w:val="en-GB"/>
        </w:rPr>
        <w:t xml:space="preserve"> NPO misuse </w:t>
      </w:r>
      <w:r w:rsidR="002B3D8F">
        <w:rPr>
          <w:rFonts w:ascii="Times New Roman" w:hAnsi="Times New Roman" w:cs="Times New Roman"/>
          <w:sz w:val="24"/>
          <w:szCs w:val="24"/>
          <w:lang w:val="en-GB"/>
        </w:rPr>
        <w:t xml:space="preserve">by </w:t>
      </w:r>
      <w:r w:rsidRPr="000E6FA4">
        <w:rPr>
          <w:rFonts w:ascii="Times New Roman" w:hAnsi="Times New Roman" w:cs="Times New Roman"/>
          <w:sz w:val="24"/>
          <w:szCs w:val="24"/>
          <w:lang w:val="en-GB"/>
        </w:rPr>
        <w:t>illicit financial actors, Belgrade, 10</w:t>
      </w:r>
      <w:r w:rsidR="002B3D8F">
        <w:rPr>
          <w:rFonts w:ascii="Times New Roman" w:hAnsi="Times New Roman" w:cs="Times New Roman"/>
          <w:sz w:val="24"/>
          <w:szCs w:val="24"/>
          <w:lang w:val="en-GB"/>
        </w:rPr>
        <w:t>–</w:t>
      </w:r>
      <w:proofErr w:type="gramStart"/>
      <w:r w:rsidRPr="000E6FA4">
        <w:rPr>
          <w:rFonts w:ascii="Times New Roman" w:hAnsi="Times New Roman" w:cs="Times New Roman"/>
          <w:sz w:val="24"/>
          <w:szCs w:val="24"/>
          <w:lang w:val="en-GB"/>
        </w:rPr>
        <w:t>12</w:t>
      </w:r>
      <w:r w:rsidR="002B3D8F">
        <w:rPr>
          <w:rFonts w:ascii="Times New Roman" w:hAnsi="Times New Roman" w:cs="Times New Roman"/>
          <w:sz w:val="24"/>
          <w:szCs w:val="24"/>
          <w:lang w:val="en-GB"/>
        </w:rPr>
        <w:t xml:space="preserve"> </w:t>
      </w:r>
      <w:r w:rsidRPr="000E6FA4">
        <w:rPr>
          <w:rFonts w:ascii="Times New Roman" w:hAnsi="Times New Roman" w:cs="Times New Roman"/>
          <w:sz w:val="24"/>
          <w:szCs w:val="24"/>
          <w:lang w:val="en-GB"/>
        </w:rPr>
        <w:t xml:space="preserve"> October</w:t>
      </w:r>
      <w:proofErr w:type="gramEnd"/>
      <w:r w:rsidRPr="000E6FA4">
        <w:rPr>
          <w:rFonts w:ascii="Times New Roman" w:hAnsi="Times New Roman" w:cs="Times New Roman"/>
          <w:sz w:val="24"/>
          <w:szCs w:val="24"/>
          <w:lang w:val="en-GB"/>
        </w:rPr>
        <w:t xml:space="preserve"> 2022. The workshop was intended for the Working Group on the Supervision of Non</w:t>
      </w:r>
      <w:r w:rsidR="0008665C">
        <w:rPr>
          <w:rFonts w:ascii="Times New Roman" w:hAnsi="Times New Roman" w:cs="Times New Roman"/>
          <w:sz w:val="24"/>
          <w:szCs w:val="24"/>
          <w:lang w:val="en-GB"/>
        </w:rPr>
        <w:t>-P</w:t>
      </w:r>
      <w:r w:rsidRPr="000E6FA4">
        <w:rPr>
          <w:rFonts w:ascii="Times New Roman" w:hAnsi="Times New Roman" w:cs="Times New Roman"/>
          <w:sz w:val="24"/>
          <w:szCs w:val="24"/>
          <w:lang w:val="en-GB"/>
        </w:rPr>
        <w:t>rofit Organisations as well as NPO sector representatives. It was organised by</w:t>
      </w:r>
      <w:r w:rsidR="002B3D8F">
        <w:rPr>
          <w:rFonts w:ascii="Times New Roman" w:hAnsi="Times New Roman" w:cs="Times New Roman"/>
          <w:sz w:val="24"/>
          <w:szCs w:val="24"/>
          <w:lang w:val="en-GB"/>
        </w:rPr>
        <w:t xml:space="preserve"> </w:t>
      </w:r>
      <w:r w:rsidRPr="000E6FA4">
        <w:rPr>
          <w:rFonts w:ascii="Times New Roman" w:hAnsi="Times New Roman" w:cs="Times New Roman"/>
          <w:sz w:val="24"/>
          <w:szCs w:val="24"/>
          <w:lang w:val="en-GB"/>
        </w:rPr>
        <w:lastRenderedPageBreak/>
        <w:t>Washington DC-based K2 Integrity under the US State Department and American Bar Association ROLI project;</w:t>
      </w:r>
    </w:p>
    <w:p w:rsidR="00225BCE" w:rsidRPr="000E6FA4" w:rsidRDefault="00225BCE" w:rsidP="00C7383E">
      <w:pPr>
        <w:pStyle w:val="ListParagraph"/>
        <w:numPr>
          <w:ilvl w:val="0"/>
          <w:numId w:val="1"/>
        </w:numPr>
        <w:spacing w:line="240" w:lineRule="auto"/>
        <w:jc w:val="both"/>
        <w:rPr>
          <w:rFonts w:ascii="Times New Roman" w:hAnsi="Times New Roman" w:cs="Times New Roman"/>
          <w:b/>
          <w:sz w:val="24"/>
          <w:szCs w:val="24"/>
          <w:lang w:val="en-GB"/>
        </w:rPr>
      </w:pPr>
      <w:r w:rsidRPr="000E6FA4">
        <w:rPr>
          <w:rFonts w:ascii="Times New Roman" w:hAnsi="Times New Roman" w:cs="Times New Roman"/>
          <w:sz w:val="24"/>
          <w:szCs w:val="24"/>
          <w:lang w:val="en-GB"/>
        </w:rPr>
        <w:t xml:space="preserve">EU TAIEX Regional Workshop on the Implementation and Enforcement of Sanctions, Skopje, North Macedonia. </w:t>
      </w:r>
    </w:p>
    <w:p w:rsidR="00225BCE" w:rsidRPr="000E6FA4" w:rsidRDefault="00225BCE" w:rsidP="00C7383E">
      <w:pPr>
        <w:pStyle w:val="ListParagraph"/>
        <w:numPr>
          <w:ilvl w:val="0"/>
          <w:numId w:val="1"/>
        </w:numPr>
        <w:spacing w:line="240" w:lineRule="auto"/>
        <w:jc w:val="both"/>
        <w:rPr>
          <w:rFonts w:ascii="Times New Roman" w:hAnsi="Times New Roman" w:cs="Times New Roman"/>
          <w:b/>
          <w:sz w:val="24"/>
          <w:szCs w:val="24"/>
          <w:lang w:val="en-GB"/>
        </w:rPr>
      </w:pPr>
      <w:r w:rsidRPr="000E6FA4">
        <w:rPr>
          <w:rFonts w:ascii="Times New Roman" w:hAnsi="Times New Roman" w:cs="Times New Roman"/>
          <w:sz w:val="24"/>
          <w:szCs w:val="24"/>
          <w:lang w:val="en-GB"/>
        </w:rPr>
        <w:t xml:space="preserve">GIZ Autumn School, Tirana, Albania, 27 October 2022. APML director held a lecture to the students of the Tirana University Law School and School of Economics about the AML/CFT system and role of APML. </w:t>
      </w:r>
    </w:p>
    <w:p w:rsidR="00225BCE" w:rsidRPr="000E6FA4" w:rsidRDefault="00225BCE" w:rsidP="00C7383E">
      <w:pPr>
        <w:pStyle w:val="ListParagraph"/>
        <w:numPr>
          <w:ilvl w:val="0"/>
          <w:numId w:val="1"/>
        </w:numPr>
        <w:spacing w:line="240" w:lineRule="auto"/>
        <w:jc w:val="both"/>
        <w:rPr>
          <w:rFonts w:ascii="Times New Roman" w:hAnsi="Times New Roman" w:cs="Times New Roman"/>
          <w:b/>
          <w:sz w:val="24"/>
          <w:szCs w:val="24"/>
          <w:lang w:val="en-GB"/>
        </w:rPr>
      </w:pPr>
      <w:r w:rsidRPr="000E6FA4">
        <w:rPr>
          <w:rFonts w:ascii="Times New Roman" w:hAnsi="Times New Roman" w:cs="Times New Roman"/>
          <w:sz w:val="24"/>
          <w:szCs w:val="24"/>
          <w:lang w:val="en-GB"/>
        </w:rPr>
        <w:t xml:space="preserve">AML/CFT Project in Serbia, funded by the Swedish Agency for International Cooperation, implemented by the Council of Europe. An international conference was organised on the evolution of AML/CFT standards and the most recent developments with a </w:t>
      </w:r>
      <w:r w:rsidR="0008665C" w:rsidRPr="000E6FA4">
        <w:rPr>
          <w:rFonts w:ascii="Times New Roman" w:hAnsi="Times New Roman" w:cs="Times New Roman"/>
          <w:sz w:val="24"/>
          <w:szCs w:val="24"/>
          <w:lang w:val="en-GB"/>
        </w:rPr>
        <w:t>focus</w:t>
      </w:r>
      <w:r w:rsidRPr="000E6FA4">
        <w:rPr>
          <w:rFonts w:ascii="Times New Roman" w:hAnsi="Times New Roman" w:cs="Times New Roman"/>
          <w:sz w:val="24"/>
          <w:szCs w:val="24"/>
          <w:lang w:val="en-GB"/>
        </w:rPr>
        <w:t xml:space="preserve"> on beneficial ownership and new technologies, Belgrade, 15.12.2022. </w:t>
      </w:r>
    </w:p>
    <w:p w:rsidR="00225BCE" w:rsidRPr="000E6FA4" w:rsidRDefault="00225BCE" w:rsidP="00D4230D">
      <w:pPr>
        <w:pStyle w:val="Heading2"/>
        <w:rPr>
          <w:b w:val="0"/>
          <w:lang w:val="en-GB"/>
        </w:rPr>
      </w:pPr>
      <w:bookmarkStart w:id="14" w:name="_Toc179546465"/>
      <w:r w:rsidRPr="000E6FA4">
        <w:rPr>
          <w:bCs/>
          <w:lang w:val="en-GB"/>
        </w:rPr>
        <w:t>Strengthening bilateral cooperation with foreign FIUs</w:t>
      </w:r>
      <w:bookmarkEnd w:id="14"/>
    </w:p>
    <w:p w:rsidR="00BD3430" w:rsidRPr="000E6FA4" w:rsidRDefault="00225BCE" w:rsidP="00DA38FB">
      <w:pPr>
        <w:spacing w:line="240" w:lineRule="auto"/>
        <w:jc w:val="both"/>
        <w:rPr>
          <w:rFonts w:ascii="Times New Roman" w:hAnsi="Times New Roman" w:cs="Times New Roman"/>
          <w:i/>
          <w:sz w:val="24"/>
          <w:szCs w:val="24"/>
          <w:lang w:val="en-GB"/>
        </w:rPr>
      </w:pPr>
      <w:r w:rsidRPr="000E6FA4">
        <w:rPr>
          <w:rFonts w:ascii="Times New Roman" w:hAnsi="Times New Roman" w:cs="Times New Roman"/>
          <w:sz w:val="24"/>
          <w:szCs w:val="24"/>
          <w:lang w:val="en-GB"/>
        </w:rPr>
        <w:t xml:space="preserve">Serbian and United Arab </w:t>
      </w:r>
      <w:r w:rsidR="0008665C" w:rsidRPr="000E6FA4">
        <w:rPr>
          <w:rFonts w:ascii="Times New Roman" w:hAnsi="Times New Roman" w:cs="Times New Roman"/>
          <w:sz w:val="24"/>
          <w:szCs w:val="24"/>
          <w:lang w:val="en-GB"/>
        </w:rPr>
        <w:t>Emirates’</w:t>
      </w:r>
      <w:r w:rsidRPr="000E6FA4">
        <w:rPr>
          <w:rFonts w:ascii="Times New Roman" w:hAnsi="Times New Roman" w:cs="Times New Roman"/>
          <w:sz w:val="24"/>
          <w:szCs w:val="24"/>
          <w:lang w:val="en-GB"/>
        </w:rPr>
        <w:t xml:space="preserve"> FIUs had a joint initiative in 2022 to sign an MOU, </w:t>
      </w:r>
      <w:r w:rsidR="00A85333">
        <w:rPr>
          <w:rFonts w:ascii="Times New Roman" w:hAnsi="Times New Roman" w:cs="Times New Roman"/>
          <w:sz w:val="24"/>
          <w:szCs w:val="24"/>
          <w:lang w:val="en-GB"/>
        </w:rPr>
        <w:t xml:space="preserve">a part of which </w:t>
      </w:r>
      <w:r w:rsidRPr="000E6FA4">
        <w:rPr>
          <w:rFonts w:ascii="Times New Roman" w:hAnsi="Times New Roman" w:cs="Times New Roman"/>
          <w:sz w:val="24"/>
          <w:szCs w:val="24"/>
          <w:lang w:val="en-GB"/>
        </w:rPr>
        <w:t xml:space="preserve">was </w:t>
      </w:r>
      <w:r w:rsidR="00A85333">
        <w:rPr>
          <w:rFonts w:ascii="Times New Roman" w:hAnsi="Times New Roman" w:cs="Times New Roman"/>
          <w:sz w:val="24"/>
          <w:szCs w:val="24"/>
          <w:lang w:val="en-GB"/>
        </w:rPr>
        <w:t xml:space="preserve">also </w:t>
      </w:r>
      <w:r w:rsidRPr="000E6FA4">
        <w:rPr>
          <w:rFonts w:ascii="Times New Roman" w:hAnsi="Times New Roman" w:cs="Times New Roman"/>
          <w:sz w:val="24"/>
          <w:szCs w:val="24"/>
          <w:lang w:val="en-GB"/>
        </w:rPr>
        <w:t xml:space="preserve">a bilateral meeting </w:t>
      </w:r>
      <w:r w:rsidR="00A85333">
        <w:rPr>
          <w:rFonts w:ascii="Times New Roman" w:hAnsi="Times New Roman" w:cs="Times New Roman"/>
          <w:sz w:val="24"/>
          <w:szCs w:val="24"/>
          <w:lang w:val="en-GB"/>
        </w:rPr>
        <w:t xml:space="preserve">held </w:t>
      </w:r>
      <w:r w:rsidRPr="000E6FA4">
        <w:rPr>
          <w:rFonts w:ascii="Times New Roman" w:hAnsi="Times New Roman" w:cs="Times New Roman"/>
          <w:sz w:val="24"/>
          <w:szCs w:val="24"/>
          <w:lang w:val="en-GB"/>
        </w:rPr>
        <w:t>in Belgrade on 2-3 February 2023</w:t>
      </w:r>
      <w:r w:rsidR="00A85333">
        <w:rPr>
          <w:rFonts w:ascii="Times New Roman" w:hAnsi="Times New Roman" w:cs="Times New Roman"/>
          <w:sz w:val="24"/>
          <w:szCs w:val="24"/>
          <w:lang w:val="en-GB"/>
        </w:rPr>
        <w:t xml:space="preserve">. The two delegations agreed to pursue </w:t>
      </w:r>
      <w:r w:rsidRPr="000E6FA4">
        <w:rPr>
          <w:rFonts w:ascii="Times New Roman" w:hAnsi="Times New Roman" w:cs="Times New Roman"/>
          <w:sz w:val="24"/>
          <w:szCs w:val="24"/>
          <w:lang w:val="en-GB"/>
        </w:rPr>
        <w:t xml:space="preserve">further projects </w:t>
      </w:r>
      <w:r w:rsidR="00A85333">
        <w:rPr>
          <w:rFonts w:ascii="Times New Roman" w:hAnsi="Times New Roman" w:cs="Times New Roman"/>
          <w:sz w:val="24"/>
          <w:szCs w:val="24"/>
          <w:lang w:val="en-GB"/>
        </w:rPr>
        <w:t xml:space="preserve">with the aim of </w:t>
      </w:r>
      <w:r w:rsidRPr="000E6FA4">
        <w:rPr>
          <w:rFonts w:ascii="Times New Roman" w:hAnsi="Times New Roman" w:cs="Times New Roman"/>
          <w:sz w:val="24"/>
          <w:szCs w:val="24"/>
          <w:lang w:val="en-GB"/>
        </w:rPr>
        <w:t xml:space="preserve">sharing knowledge and experience in areas of mutual interest. </w:t>
      </w:r>
      <w:r w:rsidR="00A85333">
        <w:rPr>
          <w:rFonts w:ascii="Times New Roman" w:hAnsi="Times New Roman" w:cs="Times New Roman"/>
          <w:sz w:val="24"/>
          <w:szCs w:val="24"/>
          <w:lang w:val="en-GB"/>
        </w:rPr>
        <w:t xml:space="preserve">The </w:t>
      </w:r>
      <w:r w:rsidRPr="000E6FA4">
        <w:rPr>
          <w:rFonts w:ascii="Times New Roman" w:hAnsi="Times New Roman" w:cs="Times New Roman"/>
          <w:sz w:val="24"/>
          <w:szCs w:val="24"/>
          <w:lang w:val="en-GB"/>
        </w:rPr>
        <w:t xml:space="preserve">FIU of Saudi Arabia made an initiative to sign an MOU with the Serbian FIU. The Russian Federation FIU’s International Training and Methodology Centre for Financial Monitoring kindly offered to the APML staff the possibility of attending training on the </w:t>
      </w:r>
      <w:proofErr w:type="spellStart"/>
      <w:r w:rsidRPr="00A85333">
        <w:rPr>
          <w:rFonts w:ascii="Times New Roman" w:hAnsi="Times New Roman" w:cs="Times New Roman"/>
          <w:i/>
          <w:sz w:val="24"/>
          <w:szCs w:val="24"/>
          <w:lang w:val="en-GB"/>
        </w:rPr>
        <w:t>iSpring</w:t>
      </w:r>
      <w:proofErr w:type="spellEnd"/>
      <w:r w:rsidRPr="000E6FA4">
        <w:rPr>
          <w:rFonts w:ascii="Times New Roman" w:hAnsi="Times New Roman" w:cs="Times New Roman"/>
          <w:sz w:val="24"/>
          <w:szCs w:val="24"/>
          <w:lang w:val="en-GB"/>
        </w:rPr>
        <w:t xml:space="preserve"> online training platform. </w:t>
      </w:r>
    </w:p>
    <w:p w:rsidR="00781E14" w:rsidRPr="000E6FA4" w:rsidRDefault="00781E14" w:rsidP="00D4230D">
      <w:pPr>
        <w:pStyle w:val="Heading2"/>
        <w:rPr>
          <w:b w:val="0"/>
          <w:lang w:val="en-GB"/>
        </w:rPr>
      </w:pPr>
      <w:bookmarkStart w:id="15" w:name="_Toc179546466"/>
      <w:r w:rsidRPr="000E6FA4">
        <w:rPr>
          <w:bCs/>
          <w:lang w:val="en-GB"/>
        </w:rPr>
        <w:t>APML role in the EU - Serbia negotiation process</w:t>
      </w:r>
      <w:bookmarkEnd w:id="15"/>
      <w:r w:rsidRPr="000E6FA4">
        <w:rPr>
          <w:b w:val="0"/>
          <w:lang w:val="en-GB"/>
        </w:rPr>
        <w:t xml:space="preserve"> </w:t>
      </w:r>
    </w:p>
    <w:p w:rsidR="00781E14" w:rsidRPr="000E6FA4" w:rsidRDefault="00781E14"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APML contributes to the EU accession negotiation process by following EU AML/FT standards and timely planning of harmonisation of Serbian legislation with these standards. </w:t>
      </w:r>
    </w:p>
    <w:p w:rsidR="00225BCE" w:rsidRPr="000E6FA4" w:rsidRDefault="00781E14"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In particular, APML mainly takes part in the in the negotiations for chapters 4 (free movement of capital), 24 (justice, freedom and security), 31 (common foreign and security policy). In 2022, there were no significant </w:t>
      </w:r>
      <w:r w:rsidR="0008665C" w:rsidRPr="000E6FA4">
        <w:rPr>
          <w:rFonts w:ascii="Times New Roman" w:hAnsi="Times New Roman" w:cs="Times New Roman"/>
          <w:sz w:val="24"/>
          <w:szCs w:val="24"/>
          <w:lang w:val="en-GB"/>
        </w:rPr>
        <w:t>activities</w:t>
      </w:r>
      <w:r w:rsidRPr="000E6FA4">
        <w:rPr>
          <w:rFonts w:ascii="Times New Roman" w:hAnsi="Times New Roman" w:cs="Times New Roman"/>
          <w:sz w:val="24"/>
          <w:szCs w:val="24"/>
          <w:lang w:val="en-GB"/>
        </w:rPr>
        <w:t xml:space="preserve"> in these negotiating chapters.</w:t>
      </w:r>
    </w:p>
    <w:p w:rsidR="00DA38FB" w:rsidRPr="000E6FA4" w:rsidRDefault="00DA38FB" w:rsidP="00DA38FB">
      <w:pPr>
        <w:pStyle w:val="Heading2"/>
        <w:rPr>
          <w:lang w:val="en-GB"/>
        </w:rPr>
      </w:pPr>
      <w:bookmarkStart w:id="16" w:name="_Toc179546467"/>
      <w:r w:rsidRPr="000E6FA4">
        <w:rPr>
          <w:bCs/>
          <w:lang w:val="en-GB"/>
        </w:rPr>
        <w:t xml:space="preserve">Technical review of EU </w:t>
      </w:r>
      <w:r w:rsidRPr="000E6FA4">
        <w:rPr>
          <w:bCs/>
          <w:i/>
          <w:iCs/>
          <w:lang w:val="en-GB"/>
        </w:rPr>
        <w:t xml:space="preserve">acquis </w:t>
      </w:r>
      <w:r w:rsidRPr="000E6FA4">
        <w:rPr>
          <w:bCs/>
          <w:lang w:val="en-GB"/>
        </w:rPr>
        <w:t>translation</w:t>
      </w:r>
      <w:bookmarkEnd w:id="16"/>
    </w:p>
    <w:p w:rsidR="00DA38FB" w:rsidRPr="000E6FA4" w:rsidRDefault="00DA38FB" w:rsidP="009F3E00">
      <w:pPr>
        <w:pStyle w:val="NoSpacing"/>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APML has a role to contribute to the quality of official translations of the relevant EU </w:t>
      </w:r>
      <w:r w:rsidRPr="000E6FA4">
        <w:rPr>
          <w:rFonts w:ascii="Times New Roman" w:hAnsi="Times New Roman" w:cs="Times New Roman"/>
          <w:i/>
          <w:iCs/>
          <w:sz w:val="24"/>
          <w:szCs w:val="24"/>
          <w:lang w:val="en-GB"/>
        </w:rPr>
        <w:t xml:space="preserve">acquis. </w:t>
      </w:r>
      <w:r w:rsidRPr="000E6FA4">
        <w:rPr>
          <w:rFonts w:ascii="Times New Roman" w:hAnsi="Times New Roman" w:cs="Times New Roman"/>
          <w:sz w:val="24"/>
          <w:szCs w:val="24"/>
          <w:lang w:val="en-GB"/>
        </w:rPr>
        <w:t xml:space="preserve">Thus the relevant staff reviewed in 2022 the translation of Directive (EU) 2018/843 of the European Parliament and of the Council of 30 May 2018 amending Directive (EU) 2015/849 on the prevention of the use of the financial system for the purposes of money laundering or terrorist financing, and amending Directives 2009/138/EC and 2013/36/EU. </w:t>
      </w:r>
    </w:p>
    <w:p w:rsidR="00EB6444" w:rsidRDefault="00EB6444" w:rsidP="00C076C3">
      <w:pPr>
        <w:pStyle w:val="Heading1"/>
        <w:rPr>
          <w:bCs/>
          <w:lang w:val="en-GB"/>
        </w:rPr>
      </w:pPr>
    </w:p>
    <w:p w:rsidR="00C076C3" w:rsidRPr="00DF4EE7" w:rsidRDefault="00C7383E" w:rsidP="00C076C3">
      <w:pPr>
        <w:pStyle w:val="Heading1"/>
        <w:rPr>
          <w:lang w:val="sr-Latn-RS"/>
        </w:rPr>
      </w:pPr>
      <w:bookmarkStart w:id="17" w:name="_Toc179546468"/>
      <w:r w:rsidRPr="000E6FA4">
        <w:rPr>
          <w:bCs/>
          <w:lang w:val="en-GB"/>
        </w:rPr>
        <w:t>FINANCIAL INTELLIGENCE - ANALYTICS</w:t>
      </w:r>
      <w:bookmarkEnd w:id="17"/>
    </w:p>
    <w:p w:rsidR="00C7383E" w:rsidRPr="000E6FA4" w:rsidRDefault="00C7383E"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Sector for analysis and prevention of the financing of terrorism comprises a Section for analysis of suspicious transactions, Section for interagency cooperation, Team for pre-analysis and Team for prevention of terrorism financing (CFT Team).</w:t>
      </w:r>
    </w:p>
    <w:p w:rsidR="0023221A" w:rsidRPr="000E6FA4" w:rsidRDefault="00C7383E" w:rsidP="00C7383E">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The Sector for analysis and prevention of the financing of terrorism opened 636 new cases in 2022.  In addition to working on newly opened cases, APML analysts acted upon a large number of cases which were opened in previous years.  </w:t>
      </w:r>
    </w:p>
    <w:p w:rsidR="00C7383E" w:rsidRPr="000E6FA4" w:rsidRDefault="000B4FE4" w:rsidP="00D4230D">
      <w:pPr>
        <w:pStyle w:val="Heading2"/>
        <w:rPr>
          <w:b w:val="0"/>
          <w:lang w:val="en-GB"/>
        </w:rPr>
      </w:pPr>
      <w:bookmarkStart w:id="18" w:name="_Toc179546469"/>
      <w:r w:rsidRPr="000E6FA4">
        <w:rPr>
          <w:bCs/>
          <w:lang w:val="en-GB"/>
        </w:rPr>
        <w:lastRenderedPageBreak/>
        <w:t>INTERAGENCY COOPERATION</w:t>
      </w:r>
      <w:bookmarkEnd w:id="18"/>
    </w:p>
    <w:p w:rsidR="00782685" w:rsidRPr="000E6FA4" w:rsidRDefault="00782685" w:rsidP="00782685">
      <w:pPr>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In 2022, the staff </w:t>
      </w:r>
      <w:r w:rsidR="00A85333">
        <w:rPr>
          <w:rFonts w:ascii="Times New Roman" w:hAnsi="Times New Roman" w:cs="Times New Roman"/>
          <w:sz w:val="24"/>
          <w:szCs w:val="24"/>
          <w:lang w:val="en-GB"/>
        </w:rPr>
        <w:t>at</w:t>
      </w:r>
      <w:r w:rsidRPr="000E6FA4">
        <w:rPr>
          <w:rFonts w:ascii="Times New Roman" w:hAnsi="Times New Roman" w:cs="Times New Roman"/>
          <w:sz w:val="24"/>
          <w:szCs w:val="24"/>
          <w:lang w:val="en-GB"/>
        </w:rPr>
        <w:t xml:space="preserve"> the Sector for analysis and prevention of the financing of terrorism played an active role in several task forces together with LEAs on a number of cases that resulted in arrests of a large number of persons including on the basis of suspicion on ML.</w:t>
      </w:r>
    </w:p>
    <w:p w:rsidR="00782685" w:rsidRPr="000E6FA4" w:rsidRDefault="00782685" w:rsidP="00782685">
      <w:pPr>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Furthermore, APML intelligence has led to the identification of a large-scale customs fraud related to the abuse of stamps of certain legal entities with the aim of disguising the true origin of goods. More specifically, an individual was believed to have harmed the Republic of Serbia budget in the above manner by EUR 6,500,000.00 for personal gain.</w:t>
      </w:r>
    </w:p>
    <w:p w:rsidR="00782685" w:rsidRPr="000E6FA4" w:rsidRDefault="00782685" w:rsidP="00782685">
      <w:pPr>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The good cooperation between APML and other authorities is supported by the fact that in 2022, the Tax Administration’s Sector for Control identified irregularities following up on APML’s disseminations, based on which the Tax Administration issued decisions determining tax liability in the total amount of RSD 2,019,272,265.34 (approx. </w:t>
      </w:r>
      <w:r w:rsidR="00062CFA">
        <w:rPr>
          <w:rFonts w:ascii="Times New Roman" w:hAnsi="Times New Roman" w:cs="Times New Roman"/>
          <w:sz w:val="24"/>
          <w:szCs w:val="24"/>
          <w:lang w:val="en-GB"/>
        </w:rPr>
        <w:t xml:space="preserve">EUR </w:t>
      </w:r>
      <w:r w:rsidRPr="000E6FA4">
        <w:rPr>
          <w:rFonts w:ascii="Times New Roman" w:hAnsi="Times New Roman" w:cs="Times New Roman"/>
          <w:sz w:val="24"/>
          <w:szCs w:val="24"/>
          <w:lang w:val="en-GB"/>
        </w:rPr>
        <w:t>16,827,270.00).</w:t>
      </w:r>
    </w:p>
    <w:p w:rsidR="002776A7" w:rsidRPr="000E6FA4" w:rsidRDefault="002776A7" w:rsidP="00782685">
      <w:pPr>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An overview of interagency information sharing is given below:</w:t>
      </w:r>
    </w:p>
    <w:p w:rsidR="00C7383E" w:rsidRPr="000E6FA4" w:rsidRDefault="00C7383E" w:rsidP="00D4230D">
      <w:pPr>
        <w:pStyle w:val="Heading3"/>
        <w:rPr>
          <w:rFonts w:eastAsia="Calibri"/>
          <w:noProof/>
          <w:lang w:val="en-GB"/>
        </w:rPr>
      </w:pPr>
      <w:bookmarkStart w:id="19" w:name="_Toc179546470"/>
      <w:r w:rsidRPr="000E6FA4">
        <w:rPr>
          <w:rFonts w:eastAsia="Calibri"/>
          <w:bCs/>
          <w:noProof/>
          <w:lang w:val="en-GB"/>
        </w:rPr>
        <w:t>Prosecutors’ offices</w:t>
      </w:r>
      <w:bookmarkEnd w:id="19"/>
    </w:p>
    <w:p w:rsidR="00C7383E" w:rsidRPr="000E6FA4" w:rsidRDefault="00C7383E" w:rsidP="00C7383E">
      <w:pPr>
        <w:spacing w:after="0" w:line="240" w:lineRule="auto"/>
        <w:jc w:val="both"/>
        <w:rPr>
          <w:rFonts w:ascii="Times New Roman" w:eastAsia="Calibri" w:hAnsi="Times New Roman" w:cs="Times New Roman"/>
          <w:b/>
          <w:noProof/>
          <w:sz w:val="24"/>
          <w:szCs w:val="24"/>
          <w:lang w:val="en-GB"/>
        </w:rPr>
      </w:pP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 xml:space="preserve">In 2022, competent prosecutors’ offices sent a total of 172 requests to the APML.   </w:t>
      </w:r>
    </w:p>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7383E" w:rsidRPr="000E6FA4" w:rsidTr="00D4230D">
        <w:tc>
          <w:tcPr>
            <w:tcW w:w="4621" w:type="dxa"/>
            <w:tcBorders>
              <w:bottom w:val="single" w:sz="4" w:space="0" w:color="auto"/>
            </w:tcBorders>
            <w:shd w:val="clear" w:color="auto" w:fill="795AA9"/>
          </w:tcPr>
          <w:p w:rsidR="00C7383E" w:rsidRPr="000E6FA4" w:rsidRDefault="00C7383E" w:rsidP="00C7383E">
            <w:pPr>
              <w:spacing w:after="0" w:line="240" w:lineRule="auto"/>
              <w:jc w:val="center"/>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Prosecutor’s office</w:t>
            </w:r>
          </w:p>
        </w:tc>
        <w:tc>
          <w:tcPr>
            <w:tcW w:w="4621" w:type="dxa"/>
            <w:tcBorders>
              <w:bottom w:val="single" w:sz="4" w:space="0" w:color="auto"/>
            </w:tcBorders>
            <w:shd w:val="clear" w:color="auto" w:fill="795AA9"/>
          </w:tcPr>
          <w:p w:rsidR="00C7383E" w:rsidRPr="000E6FA4" w:rsidRDefault="00C7383E" w:rsidP="00C7383E">
            <w:pPr>
              <w:spacing w:after="0" w:line="240" w:lineRule="auto"/>
              <w:jc w:val="center"/>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Number of requests</w:t>
            </w:r>
          </w:p>
        </w:tc>
      </w:tr>
      <w:tr w:rsidR="00C7383E" w:rsidRPr="000E6FA4" w:rsidTr="00D4230D">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Prosecutor’s Office for Organised Crime</w:t>
            </w:r>
          </w:p>
        </w:tc>
        <w:tc>
          <w:tcPr>
            <w:tcW w:w="4621"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45</w:t>
            </w:r>
          </w:p>
        </w:tc>
      </w:tr>
      <w:tr w:rsidR="00C7383E" w:rsidRPr="000E6FA4" w:rsidTr="00D4230D">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Higher prosecutor’s offices</w:t>
            </w:r>
          </w:p>
        </w:tc>
        <w:tc>
          <w:tcPr>
            <w:tcW w:w="4621" w:type="dxa"/>
            <w:shd w:val="clear" w:color="auto" w:fill="B8CCE4"/>
          </w:tcPr>
          <w:p w:rsidR="00C7383E" w:rsidRPr="000E6FA4" w:rsidRDefault="00C7383E" w:rsidP="00C7383E">
            <w:pPr>
              <w:spacing w:after="0" w:line="240" w:lineRule="auto"/>
              <w:jc w:val="center"/>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127</w:t>
            </w:r>
          </w:p>
        </w:tc>
      </w:tr>
    </w:tbl>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p w:rsidR="00C7383E"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 xml:space="preserve">The </w:t>
      </w:r>
      <w:r w:rsidR="00062CFA">
        <w:rPr>
          <w:rFonts w:ascii="Times New Roman" w:eastAsia="Calibri" w:hAnsi="Times New Roman" w:cs="Times New Roman"/>
          <w:noProof/>
          <w:color w:val="000000"/>
          <w:sz w:val="24"/>
          <w:szCs w:val="24"/>
          <w:lang w:val="en-GB"/>
        </w:rPr>
        <w:t xml:space="preserve">requests mainly refer in their ML </w:t>
      </w:r>
      <w:r w:rsidRPr="000E6FA4">
        <w:rPr>
          <w:rFonts w:ascii="Times New Roman" w:eastAsia="Calibri" w:hAnsi="Times New Roman" w:cs="Times New Roman"/>
          <w:noProof/>
          <w:color w:val="000000"/>
          <w:sz w:val="24"/>
          <w:szCs w:val="24"/>
          <w:lang w:val="en-GB"/>
        </w:rPr>
        <w:t>rationale</w:t>
      </w:r>
      <w:r w:rsidR="00062CFA">
        <w:rPr>
          <w:rFonts w:ascii="Times New Roman" w:eastAsia="Calibri" w:hAnsi="Times New Roman" w:cs="Times New Roman"/>
          <w:noProof/>
          <w:color w:val="000000"/>
          <w:sz w:val="24"/>
          <w:szCs w:val="24"/>
          <w:lang w:val="en-GB"/>
        </w:rPr>
        <w:t>s</w:t>
      </w:r>
      <w:r w:rsidRPr="000E6FA4">
        <w:rPr>
          <w:rFonts w:ascii="Times New Roman" w:eastAsia="Calibri" w:hAnsi="Times New Roman" w:cs="Times New Roman"/>
          <w:noProof/>
          <w:color w:val="000000"/>
          <w:sz w:val="24"/>
          <w:szCs w:val="24"/>
          <w:lang w:val="en-GB"/>
        </w:rPr>
        <w:t xml:space="preserve"> </w:t>
      </w:r>
      <w:r w:rsidR="00062CFA">
        <w:rPr>
          <w:rFonts w:ascii="Times New Roman" w:eastAsia="Calibri" w:hAnsi="Times New Roman" w:cs="Times New Roman"/>
          <w:noProof/>
          <w:color w:val="000000"/>
          <w:sz w:val="24"/>
          <w:szCs w:val="24"/>
          <w:lang w:val="en-GB"/>
        </w:rPr>
        <w:t>to the following predicate crimes</w:t>
      </w:r>
      <w:r w:rsidRPr="000E6FA4">
        <w:rPr>
          <w:rFonts w:ascii="Times New Roman" w:eastAsia="Calibri" w:hAnsi="Times New Roman" w:cs="Times New Roman"/>
          <w:noProof/>
          <w:color w:val="000000"/>
          <w:sz w:val="24"/>
          <w:szCs w:val="24"/>
          <w:lang w:val="en-GB"/>
        </w:rPr>
        <w:t>: corruptive crimes, tax evasion, fraud, spending of assets contrary to the specified purpose, embezzlement, illicit production and circulation of narcotic drugs, forgery, association for the purpose of commiting criminal offences, etc.</w:t>
      </w:r>
    </w:p>
    <w:p w:rsidR="004611B3" w:rsidRPr="000E6FA4" w:rsidRDefault="004611B3" w:rsidP="00C7383E">
      <w:pPr>
        <w:spacing w:after="0" w:line="240" w:lineRule="auto"/>
        <w:jc w:val="both"/>
        <w:rPr>
          <w:rFonts w:ascii="Times New Roman" w:eastAsia="Calibri" w:hAnsi="Times New Roman" w:cs="Times New Roman"/>
          <w:noProof/>
          <w:color w:val="000000"/>
          <w:sz w:val="24"/>
          <w:szCs w:val="24"/>
          <w:lang w:val="en-GB"/>
        </w:rPr>
      </w:pPr>
    </w:p>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r w:rsidRPr="000E6FA4">
        <w:rPr>
          <w:rFonts w:ascii="Times New Roman" w:eastAsia="Calibri" w:hAnsi="Times New Roman" w:cs="Times New Roman"/>
          <w:noProof/>
          <w:color w:val="000000"/>
          <w:sz w:val="24"/>
          <w:szCs w:val="24"/>
          <w:lang w:val="en-GB"/>
        </w:rPr>
        <w:t xml:space="preserve">The APML disseminates its cases </w:t>
      </w:r>
      <w:r w:rsidR="005836CA">
        <w:rPr>
          <w:rFonts w:ascii="Times New Roman" w:eastAsia="Calibri" w:hAnsi="Times New Roman" w:cs="Times New Roman"/>
          <w:noProof/>
          <w:color w:val="000000"/>
          <w:sz w:val="24"/>
          <w:szCs w:val="24"/>
          <w:lang w:val="en-GB"/>
        </w:rPr>
        <w:t xml:space="preserve">to </w:t>
      </w:r>
      <w:r w:rsidRPr="000E6FA4">
        <w:rPr>
          <w:rFonts w:ascii="Times New Roman" w:eastAsia="Calibri" w:hAnsi="Times New Roman" w:cs="Times New Roman"/>
          <w:noProof/>
          <w:color w:val="000000"/>
          <w:sz w:val="24"/>
          <w:szCs w:val="24"/>
          <w:lang w:val="en-GB"/>
        </w:rPr>
        <w:t xml:space="preserve">competent prosecutor’s offices in line with the Agreement </w:t>
      </w:r>
      <w:r w:rsidR="005836CA">
        <w:rPr>
          <w:rFonts w:ascii="Times New Roman" w:eastAsia="Calibri" w:hAnsi="Times New Roman" w:cs="Times New Roman"/>
          <w:noProof/>
          <w:color w:val="000000"/>
          <w:sz w:val="24"/>
          <w:szCs w:val="24"/>
          <w:lang w:val="en-GB"/>
        </w:rPr>
        <w:t xml:space="preserve">it </w:t>
      </w:r>
      <w:r w:rsidRPr="000E6FA4">
        <w:rPr>
          <w:rFonts w:ascii="Times New Roman" w:eastAsia="Calibri" w:hAnsi="Times New Roman" w:cs="Times New Roman"/>
          <w:noProof/>
          <w:color w:val="000000"/>
          <w:sz w:val="24"/>
          <w:szCs w:val="24"/>
          <w:lang w:val="en-GB"/>
        </w:rPr>
        <w:t xml:space="preserve">signed </w:t>
      </w:r>
      <w:r w:rsidR="005836CA">
        <w:rPr>
          <w:rFonts w:ascii="Times New Roman" w:eastAsia="Calibri" w:hAnsi="Times New Roman" w:cs="Times New Roman"/>
          <w:noProof/>
          <w:color w:val="000000"/>
          <w:sz w:val="24"/>
          <w:szCs w:val="24"/>
          <w:lang w:val="en-GB"/>
        </w:rPr>
        <w:t xml:space="preserve">with </w:t>
      </w:r>
      <w:r w:rsidRPr="000E6FA4">
        <w:rPr>
          <w:rFonts w:ascii="Times New Roman" w:eastAsia="Calibri" w:hAnsi="Times New Roman" w:cs="Times New Roman"/>
          <w:noProof/>
          <w:color w:val="000000"/>
          <w:sz w:val="24"/>
          <w:szCs w:val="24"/>
          <w:lang w:val="en-GB"/>
        </w:rPr>
        <w:t xml:space="preserve">the Republic Public Prosecutor's Office on 26 April 2017. In 2022, the </w:t>
      </w:r>
      <w:r w:rsidR="005836CA">
        <w:rPr>
          <w:rFonts w:ascii="Times New Roman" w:eastAsia="Calibri" w:hAnsi="Times New Roman" w:cs="Times New Roman"/>
          <w:noProof/>
          <w:color w:val="000000"/>
          <w:sz w:val="24"/>
          <w:szCs w:val="24"/>
          <w:lang w:val="en-GB"/>
        </w:rPr>
        <w:t>APML</w:t>
      </w:r>
      <w:r w:rsidRPr="000E6FA4">
        <w:rPr>
          <w:rFonts w:ascii="Times New Roman" w:eastAsia="Calibri" w:hAnsi="Times New Roman" w:cs="Times New Roman"/>
          <w:noProof/>
          <w:color w:val="000000"/>
          <w:sz w:val="24"/>
          <w:szCs w:val="24"/>
          <w:lang w:val="en-GB"/>
        </w:rPr>
        <w:t xml:space="preserve"> disseminated </w:t>
      </w:r>
      <w:r w:rsidR="005836CA">
        <w:rPr>
          <w:rFonts w:ascii="Times New Roman" w:eastAsia="Calibri" w:hAnsi="Times New Roman" w:cs="Times New Roman"/>
          <w:noProof/>
          <w:color w:val="000000"/>
          <w:sz w:val="24"/>
          <w:szCs w:val="24"/>
          <w:lang w:val="en-GB"/>
        </w:rPr>
        <w:t xml:space="preserve">a </w:t>
      </w:r>
      <w:r w:rsidRPr="000E6FA4">
        <w:rPr>
          <w:rFonts w:ascii="Times New Roman" w:eastAsia="Calibri" w:hAnsi="Times New Roman" w:cs="Times New Roman"/>
          <w:noProof/>
          <w:color w:val="000000"/>
          <w:sz w:val="24"/>
          <w:szCs w:val="24"/>
          <w:lang w:val="en-GB"/>
        </w:rPr>
        <w:t xml:space="preserve">total of </w:t>
      </w:r>
      <w:r w:rsidRPr="0008665C">
        <w:rPr>
          <w:rFonts w:ascii="Times New Roman" w:eastAsia="Calibri" w:hAnsi="Times New Roman" w:cs="Times New Roman"/>
          <w:noProof/>
          <w:sz w:val="24"/>
          <w:szCs w:val="24"/>
          <w:lang w:val="en-GB"/>
        </w:rPr>
        <w:t>92</w:t>
      </w:r>
      <w:r w:rsidRPr="000E6FA4">
        <w:rPr>
          <w:rFonts w:ascii="Times New Roman" w:eastAsia="Calibri" w:hAnsi="Times New Roman" w:cs="Times New Roman"/>
          <w:noProof/>
          <w:color w:val="000000"/>
          <w:sz w:val="24"/>
          <w:szCs w:val="24"/>
          <w:lang w:val="en-GB"/>
        </w:rPr>
        <w:t xml:space="preserve"> information to relevant prosecutors’ offices. </w:t>
      </w:r>
    </w:p>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7383E" w:rsidRPr="000E6FA4" w:rsidTr="00D4230D">
        <w:tc>
          <w:tcPr>
            <w:tcW w:w="4621" w:type="dxa"/>
            <w:tcBorders>
              <w:bottom w:val="single" w:sz="4" w:space="0" w:color="auto"/>
            </w:tcBorders>
            <w:shd w:val="clear" w:color="auto" w:fill="795AA9"/>
          </w:tcPr>
          <w:p w:rsidR="00C7383E" w:rsidRPr="000E6FA4" w:rsidRDefault="00C7383E" w:rsidP="00C7383E">
            <w:pPr>
              <w:spacing w:after="0" w:line="240" w:lineRule="auto"/>
              <w:jc w:val="center"/>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Prosecutor’s office</w:t>
            </w:r>
          </w:p>
        </w:tc>
        <w:tc>
          <w:tcPr>
            <w:tcW w:w="4621" w:type="dxa"/>
            <w:tcBorders>
              <w:bottom w:val="single" w:sz="4" w:space="0" w:color="auto"/>
            </w:tcBorders>
            <w:shd w:val="clear" w:color="auto" w:fill="795AA9"/>
          </w:tcPr>
          <w:p w:rsidR="00C7383E" w:rsidRPr="000E6FA4" w:rsidRDefault="00C7383E" w:rsidP="00C7383E">
            <w:pPr>
              <w:spacing w:after="0" w:line="240" w:lineRule="auto"/>
              <w:jc w:val="center"/>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Number of disseminated reports</w:t>
            </w:r>
            <w:r w:rsidRPr="000E6FA4">
              <w:rPr>
                <w:rFonts w:ascii="Times New Roman" w:eastAsia="Calibri" w:hAnsi="Times New Roman" w:cs="Times New Roman"/>
                <w:noProof/>
                <w:color w:val="000000"/>
                <w:sz w:val="24"/>
                <w:szCs w:val="24"/>
                <w:lang w:val="en-GB"/>
              </w:rPr>
              <w:t xml:space="preserve"> </w:t>
            </w:r>
          </w:p>
        </w:tc>
      </w:tr>
      <w:tr w:rsidR="00C7383E" w:rsidRPr="000E6FA4" w:rsidTr="00D4230D">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Prosecutor’s Office for Organised Crime</w:t>
            </w:r>
          </w:p>
        </w:tc>
        <w:tc>
          <w:tcPr>
            <w:tcW w:w="4621"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18</w:t>
            </w:r>
          </w:p>
        </w:tc>
      </w:tr>
      <w:tr w:rsidR="00C7383E" w:rsidRPr="000E6FA4" w:rsidTr="0008665C">
        <w:trPr>
          <w:trHeight w:val="324"/>
        </w:trPr>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Prosecutor’s Office for Cybercrime</w:t>
            </w:r>
          </w:p>
        </w:tc>
        <w:tc>
          <w:tcPr>
            <w:tcW w:w="4621" w:type="dxa"/>
            <w:shd w:val="clear" w:color="auto" w:fill="B8CCE4"/>
          </w:tcPr>
          <w:p w:rsidR="00C7383E" w:rsidRPr="000E6FA4" w:rsidRDefault="00C7383E" w:rsidP="00C7383E">
            <w:pPr>
              <w:spacing w:after="0" w:line="240" w:lineRule="auto"/>
              <w:jc w:val="center"/>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4</w:t>
            </w:r>
          </w:p>
        </w:tc>
      </w:tr>
      <w:tr w:rsidR="00C7383E" w:rsidRPr="000E6FA4" w:rsidTr="00D4230D">
        <w:tc>
          <w:tcPr>
            <w:tcW w:w="4621" w:type="dxa"/>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Higher prosecutor’s offices</w:t>
            </w:r>
          </w:p>
        </w:tc>
        <w:tc>
          <w:tcPr>
            <w:tcW w:w="462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70</w:t>
            </w:r>
          </w:p>
        </w:tc>
      </w:tr>
    </w:tbl>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Most of the analysis reports and information about suspected ML were disseminated to the Higher</w:t>
      </w:r>
      <w:r w:rsidR="002C72D4">
        <w:rPr>
          <w:rFonts w:ascii="Times New Roman" w:eastAsia="Calibri" w:hAnsi="Times New Roman" w:cs="Times New Roman"/>
          <w:noProof/>
          <w:color w:val="000000"/>
          <w:sz w:val="24"/>
          <w:szCs w:val="24"/>
          <w:lang w:val="en-GB"/>
        </w:rPr>
        <w:t xml:space="preserve"> </w:t>
      </w:r>
      <w:r w:rsidRPr="000E6FA4">
        <w:rPr>
          <w:rFonts w:ascii="Times New Roman" w:eastAsia="Calibri" w:hAnsi="Times New Roman" w:cs="Times New Roman"/>
          <w:noProof/>
          <w:color w:val="000000"/>
          <w:sz w:val="24"/>
          <w:szCs w:val="24"/>
          <w:lang w:val="en-GB"/>
        </w:rPr>
        <w:t>Prosecutor’s Offices, Special Anti-Corruption Departments - 70 in total, 18 disseminations to the Prosecutor’s Office for Organised Crime, and 4 to the Prosecutor’s Office for Cybercrime.</w:t>
      </w:r>
    </w:p>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 xml:space="preserve">Regional distribution of </w:t>
      </w:r>
      <w:r w:rsidR="00096E99">
        <w:rPr>
          <w:rFonts w:ascii="Times New Roman" w:eastAsia="Calibri" w:hAnsi="Times New Roman" w:cs="Times New Roman"/>
          <w:noProof/>
          <w:color w:val="000000"/>
          <w:sz w:val="24"/>
          <w:szCs w:val="24"/>
          <w:lang w:val="en-GB"/>
        </w:rPr>
        <w:t>disseminations</w:t>
      </w:r>
      <w:r w:rsidRPr="000E6FA4">
        <w:rPr>
          <w:rFonts w:ascii="Times New Roman" w:eastAsia="Calibri" w:hAnsi="Times New Roman" w:cs="Times New Roman"/>
          <w:noProof/>
          <w:color w:val="000000"/>
          <w:sz w:val="24"/>
          <w:szCs w:val="24"/>
          <w:lang w:val="en-GB"/>
        </w:rPr>
        <w:t xml:space="preserve"> to higher prosecutor’s offices is shown in the table below.</w:t>
      </w:r>
    </w:p>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7383E" w:rsidRPr="000E6FA4" w:rsidTr="00D4230D">
        <w:trPr>
          <w:trHeight w:val="324"/>
        </w:trPr>
        <w:tc>
          <w:tcPr>
            <w:tcW w:w="4620" w:type="dxa"/>
            <w:tcBorders>
              <w:bottom w:val="single" w:sz="4" w:space="0" w:color="auto"/>
            </w:tcBorders>
            <w:shd w:val="clear" w:color="auto" w:fill="795AA9"/>
          </w:tcPr>
          <w:p w:rsidR="00C7383E" w:rsidRPr="000E6FA4" w:rsidRDefault="00C7383E" w:rsidP="00C7383E">
            <w:pPr>
              <w:spacing w:after="0" w:line="240" w:lineRule="auto"/>
              <w:jc w:val="center"/>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Higher Public Prosecutor’s Office</w:t>
            </w:r>
          </w:p>
        </w:tc>
        <w:tc>
          <w:tcPr>
            <w:tcW w:w="4622" w:type="dxa"/>
            <w:tcBorders>
              <w:bottom w:val="single" w:sz="4" w:space="0" w:color="auto"/>
            </w:tcBorders>
            <w:shd w:val="clear" w:color="auto" w:fill="795AA9"/>
          </w:tcPr>
          <w:p w:rsidR="00C7383E" w:rsidRPr="000E6FA4" w:rsidRDefault="00C7383E" w:rsidP="00C7383E">
            <w:pPr>
              <w:spacing w:after="0" w:line="240" w:lineRule="auto"/>
              <w:jc w:val="center"/>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Number of disseminated reports</w:t>
            </w:r>
          </w:p>
        </w:tc>
      </w:tr>
      <w:tr w:rsidR="00C7383E" w:rsidRPr="000E6FA4" w:rsidTr="00D4230D">
        <w:trPr>
          <w:trHeight w:val="222"/>
        </w:trPr>
        <w:tc>
          <w:tcPr>
            <w:tcW w:w="4620"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lastRenderedPageBreak/>
              <w:t>Belgrade</w:t>
            </w:r>
          </w:p>
        </w:tc>
        <w:tc>
          <w:tcPr>
            <w:tcW w:w="4622"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47</w:t>
            </w:r>
          </w:p>
        </w:tc>
      </w:tr>
      <w:tr w:rsidR="00C7383E" w:rsidRPr="000E6FA4" w:rsidTr="00D4230D">
        <w:trPr>
          <w:trHeight w:val="97"/>
        </w:trPr>
        <w:tc>
          <w:tcPr>
            <w:tcW w:w="4620"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Kraljevo</w:t>
            </w:r>
          </w:p>
        </w:tc>
        <w:tc>
          <w:tcPr>
            <w:tcW w:w="4622" w:type="dxa"/>
            <w:shd w:val="clear" w:color="auto" w:fill="B8CCE4"/>
          </w:tcPr>
          <w:p w:rsidR="00C7383E" w:rsidRPr="000E6FA4" w:rsidRDefault="00C7383E" w:rsidP="00C7383E">
            <w:pPr>
              <w:spacing w:after="0" w:line="240" w:lineRule="auto"/>
              <w:jc w:val="center"/>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2</w:t>
            </w:r>
          </w:p>
        </w:tc>
      </w:tr>
      <w:tr w:rsidR="00C7383E" w:rsidRPr="000E6FA4" w:rsidTr="00D4230D">
        <w:trPr>
          <w:trHeight w:val="70"/>
        </w:trPr>
        <w:tc>
          <w:tcPr>
            <w:tcW w:w="4620"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Niš</w:t>
            </w:r>
          </w:p>
        </w:tc>
        <w:tc>
          <w:tcPr>
            <w:tcW w:w="4622"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5</w:t>
            </w:r>
          </w:p>
        </w:tc>
      </w:tr>
      <w:tr w:rsidR="00C7383E" w:rsidRPr="000E6FA4" w:rsidTr="00D4230D">
        <w:trPr>
          <w:trHeight w:val="70"/>
        </w:trPr>
        <w:tc>
          <w:tcPr>
            <w:tcW w:w="4620"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Novi Sad</w:t>
            </w:r>
          </w:p>
        </w:tc>
        <w:tc>
          <w:tcPr>
            <w:tcW w:w="4622" w:type="dxa"/>
            <w:shd w:val="clear" w:color="auto" w:fill="B8CCE4"/>
          </w:tcPr>
          <w:p w:rsidR="00C7383E" w:rsidRPr="000E6FA4" w:rsidRDefault="00C7383E" w:rsidP="00C7383E">
            <w:pPr>
              <w:spacing w:after="0" w:line="240" w:lineRule="auto"/>
              <w:jc w:val="center"/>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16</w:t>
            </w:r>
          </w:p>
        </w:tc>
      </w:tr>
    </w:tbl>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 xml:space="preserve">In most cases </w:t>
      </w:r>
      <w:r w:rsidR="00096E99">
        <w:rPr>
          <w:rFonts w:ascii="Times New Roman" w:eastAsia="Calibri" w:hAnsi="Times New Roman" w:cs="Times New Roman"/>
          <w:noProof/>
          <w:color w:val="000000"/>
          <w:sz w:val="24"/>
          <w:szCs w:val="24"/>
          <w:lang w:val="en-GB"/>
        </w:rPr>
        <w:t>disseminations were made to prosecutor</w:t>
      </w:r>
      <w:r w:rsidRPr="000E6FA4">
        <w:rPr>
          <w:rFonts w:ascii="Times New Roman" w:eastAsia="Calibri" w:hAnsi="Times New Roman" w:cs="Times New Roman"/>
          <w:noProof/>
          <w:color w:val="000000"/>
          <w:sz w:val="24"/>
          <w:szCs w:val="24"/>
          <w:lang w:val="en-GB"/>
        </w:rPr>
        <w:t>s</w:t>
      </w:r>
      <w:r w:rsidR="00096E99">
        <w:rPr>
          <w:rFonts w:ascii="Times New Roman" w:eastAsia="Calibri" w:hAnsi="Times New Roman" w:cs="Times New Roman"/>
          <w:noProof/>
          <w:color w:val="000000"/>
          <w:sz w:val="24"/>
          <w:szCs w:val="24"/>
          <w:lang w:val="en-GB"/>
        </w:rPr>
        <w:t>’</w:t>
      </w:r>
      <w:r w:rsidRPr="000E6FA4">
        <w:rPr>
          <w:rFonts w:ascii="Times New Roman" w:eastAsia="Calibri" w:hAnsi="Times New Roman" w:cs="Times New Roman"/>
          <w:noProof/>
          <w:color w:val="000000"/>
          <w:sz w:val="24"/>
          <w:szCs w:val="24"/>
          <w:lang w:val="en-GB"/>
        </w:rPr>
        <w:t xml:space="preserve"> offices because of suspicion on simulated legal transactions without a reasonable economic purpose behind (there was no actual trade in goods and services) the aim of which was mainly to deplete legal entities’ bank accounts; and suspicion on corruptive crimes, drug trafficking, forging business documentation, and suspicion on illicit origin of the funds transferred.</w:t>
      </w:r>
    </w:p>
    <w:p w:rsidR="00C7383E" w:rsidRPr="000E6FA4" w:rsidRDefault="00C7383E" w:rsidP="00C7383E">
      <w:pPr>
        <w:keepNext/>
        <w:keepLines/>
        <w:spacing w:after="0" w:line="240" w:lineRule="auto"/>
        <w:outlineLvl w:val="1"/>
        <w:rPr>
          <w:rFonts w:ascii="Times New Roman" w:eastAsia="Times New Roman" w:hAnsi="Times New Roman" w:cs="Times New Roman"/>
          <w:b/>
          <w:bCs/>
          <w:noProof/>
          <w:sz w:val="24"/>
          <w:szCs w:val="24"/>
          <w:lang w:val="en-GB"/>
        </w:rPr>
      </w:pPr>
      <w:bookmarkStart w:id="20" w:name="_Toc478372179"/>
    </w:p>
    <w:p w:rsidR="00C7383E" w:rsidRPr="000E6FA4" w:rsidRDefault="00C7383E" w:rsidP="00D4230D">
      <w:pPr>
        <w:pStyle w:val="Heading3"/>
        <w:rPr>
          <w:rFonts w:eastAsia="Times New Roman"/>
          <w:noProof/>
          <w:lang w:val="en-GB"/>
        </w:rPr>
      </w:pPr>
      <w:bookmarkStart w:id="21" w:name="_Toc179546471"/>
      <w:r w:rsidRPr="000E6FA4">
        <w:rPr>
          <w:rFonts w:eastAsia="Times New Roman"/>
          <w:bCs/>
          <w:noProof/>
          <w:lang w:val="en-GB"/>
        </w:rPr>
        <w:t>Ministry of the Interior</w:t>
      </w:r>
      <w:bookmarkEnd w:id="20"/>
      <w:bookmarkEnd w:id="21"/>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In 2022, the Ministry of the Interior sent a total of 157 requests to the APML on suspicion of money laundering or terrorism financing. At the request of the Ministry of the Interior, the APML checked, in addition to its own (CTR and STR) databases, data on turnover in bank accounts (for the previous 5 years on average), transfer of money through payment institutions and</w:t>
      </w:r>
      <w:r w:rsidR="00DC6CEE">
        <w:rPr>
          <w:rFonts w:ascii="Times New Roman" w:eastAsia="Calibri" w:hAnsi="Times New Roman" w:cs="Times New Roman"/>
          <w:noProof/>
          <w:color w:val="000000"/>
          <w:sz w:val="24"/>
          <w:szCs w:val="24"/>
          <w:lang w:val="en-GB"/>
        </w:rPr>
        <w:t xml:space="preserve"> requested information </w:t>
      </w:r>
      <w:r w:rsidRPr="000E6FA4">
        <w:rPr>
          <w:rFonts w:ascii="Times New Roman" w:eastAsia="Calibri" w:hAnsi="Times New Roman" w:cs="Times New Roman"/>
          <w:noProof/>
          <w:color w:val="000000"/>
          <w:sz w:val="24"/>
          <w:szCs w:val="24"/>
          <w:lang w:val="en-GB"/>
        </w:rPr>
        <w:t>from foreign counterpart FIUs using the Egmont Group’s secure website (ESW).</w:t>
      </w:r>
    </w:p>
    <w:p w:rsidR="00DC6CEE" w:rsidRDefault="00DC6CEE" w:rsidP="00C7383E">
      <w:pPr>
        <w:spacing w:after="0" w:line="240" w:lineRule="auto"/>
        <w:jc w:val="both"/>
        <w:rPr>
          <w:rFonts w:ascii="Times New Roman" w:eastAsia="Calibri" w:hAnsi="Times New Roman" w:cs="Times New Roman"/>
          <w:noProof/>
          <w:color w:val="000000"/>
          <w:sz w:val="24"/>
          <w:szCs w:val="24"/>
          <w:lang w:val="en-GB"/>
        </w:rPr>
      </w:pP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In the course of analysis of STRs filed by obliged entities, the APML sent 39 requests to the Ministry of the Interior, sharing therein the details of suspicious activities indicating predicate proceeds generating crimes, but at the same time requesting information on criminal offences, potential ties with criminal groups in Serbia and any other operational data t</w:t>
      </w:r>
      <w:r w:rsidR="004611B3">
        <w:rPr>
          <w:rFonts w:ascii="Times New Roman" w:eastAsia="Calibri" w:hAnsi="Times New Roman" w:cs="Times New Roman"/>
          <w:noProof/>
          <w:color w:val="000000"/>
          <w:sz w:val="24"/>
          <w:szCs w:val="24"/>
          <w:lang w:val="en-GB"/>
        </w:rPr>
        <w:t xml:space="preserve">hat the Ministry holds. </w:t>
      </w:r>
      <w:r w:rsidRPr="000E6FA4">
        <w:rPr>
          <w:rFonts w:ascii="Times New Roman" w:eastAsia="Calibri" w:hAnsi="Times New Roman" w:cs="Times New Roman"/>
          <w:noProof/>
          <w:color w:val="000000"/>
          <w:sz w:val="24"/>
          <w:szCs w:val="24"/>
          <w:lang w:val="en-GB"/>
        </w:rPr>
        <w:t>The activities of the subjects of APML’s analyses involved suspicion on illegal origin of funds, drugs trafficking, fraudulent practices, abuse of office by responsible persons, and terrorist financing.</w:t>
      </w:r>
    </w:p>
    <w:p w:rsidR="00C7383E" w:rsidRPr="000E6FA4" w:rsidRDefault="00C7383E" w:rsidP="00C7383E">
      <w:pPr>
        <w:keepNext/>
        <w:keepLines/>
        <w:spacing w:after="0" w:line="240" w:lineRule="auto"/>
        <w:outlineLvl w:val="1"/>
        <w:rPr>
          <w:rFonts w:ascii="Times New Roman" w:eastAsia="Times New Roman" w:hAnsi="Times New Roman" w:cs="Times New Roman"/>
          <w:b/>
          <w:bCs/>
          <w:noProof/>
          <w:color w:val="FF0000"/>
          <w:sz w:val="24"/>
          <w:szCs w:val="24"/>
          <w:lang w:val="en-GB"/>
        </w:rPr>
      </w:pPr>
      <w:bookmarkStart w:id="22" w:name="_Toc478372180"/>
    </w:p>
    <w:p w:rsidR="00C7383E" w:rsidRPr="000E6FA4" w:rsidRDefault="00C7383E" w:rsidP="00D4230D">
      <w:pPr>
        <w:pStyle w:val="Heading3"/>
        <w:rPr>
          <w:rFonts w:eastAsia="Times New Roman"/>
          <w:noProof/>
          <w:lang w:val="en-GB"/>
        </w:rPr>
      </w:pPr>
      <w:bookmarkStart w:id="23" w:name="_Toc179546472"/>
      <w:r w:rsidRPr="000E6FA4">
        <w:rPr>
          <w:rFonts w:eastAsia="Times New Roman"/>
          <w:bCs/>
          <w:noProof/>
          <w:lang w:val="en-GB"/>
        </w:rPr>
        <w:t>Security Information Agency</w:t>
      </w:r>
      <w:bookmarkEnd w:id="22"/>
      <w:bookmarkEnd w:id="23"/>
    </w:p>
    <w:p w:rsidR="00C7383E"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In 2022, the Security Information Agency sent 50 requests for information to the APML, requesting from the APML to check the databases available to it including bank account turnovers and information on transactions carried out through payment institutions. Most of the information exchanged was related to suspected drug trafficking, terrorist financing, ties to criminal organisations and transfers of money of dubious origin to accounts in Serbia.</w:t>
      </w:r>
    </w:p>
    <w:p w:rsidR="004611B3" w:rsidRPr="000E6FA4" w:rsidRDefault="004611B3" w:rsidP="00C7383E">
      <w:pPr>
        <w:spacing w:after="0" w:line="240" w:lineRule="auto"/>
        <w:jc w:val="both"/>
        <w:rPr>
          <w:rFonts w:ascii="Times New Roman" w:eastAsia="Calibri" w:hAnsi="Times New Roman" w:cs="Times New Roman"/>
          <w:noProof/>
          <w:color w:val="000000"/>
          <w:sz w:val="24"/>
          <w:szCs w:val="24"/>
          <w:lang w:val="en-GB"/>
        </w:rPr>
      </w:pP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In addition, as a result of suspicious activity analysis, the APML forwarded to the Security Information Agency for potential further action a total of 29 disseminations, and requested feedback on the outcome of any action potentially taken. Most of the disseminations involved foreign nationals holding bank accounts with or conducting transactions in commercial banks in Serbia,</w:t>
      </w:r>
      <w:bookmarkStart w:id="24" w:name="_Toc478372182"/>
      <w:r w:rsidRPr="000E6FA4">
        <w:rPr>
          <w:rFonts w:ascii="Times New Roman" w:eastAsia="Calibri" w:hAnsi="Times New Roman" w:cs="Times New Roman"/>
          <w:noProof/>
          <w:color w:val="000000"/>
          <w:sz w:val="24"/>
          <w:szCs w:val="24"/>
          <w:lang w:val="en-GB"/>
        </w:rPr>
        <w:t xml:space="preserve"> whose activities raised suspicion because their economic purpose was not clear.</w:t>
      </w: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p>
    <w:p w:rsidR="00C7383E" w:rsidRPr="000E6FA4" w:rsidRDefault="00C7383E" w:rsidP="00D4230D">
      <w:pPr>
        <w:pStyle w:val="Heading3"/>
        <w:rPr>
          <w:rFonts w:eastAsia="Times New Roman"/>
          <w:noProof/>
          <w:lang w:val="en-GB"/>
        </w:rPr>
      </w:pPr>
      <w:bookmarkStart w:id="25" w:name="_Toc179546473"/>
      <w:r w:rsidRPr="000E6FA4">
        <w:rPr>
          <w:rFonts w:eastAsia="Times New Roman"/>
          <w:bCs/>
          <w:noProof/>
          <w:lang w:val="en-GB"/>
        </w:rPr>
        <w:t>Tax Administration</w:t>
      </w:r>
      <w:bookmarkEnd w:id="24"/>
      <w:bookmarkEnd w:id="25"/>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 xml:space="preserve">In 2022, the Tax Administration sent 10 requests for information to the APML and the APML made 106 disseminations to the Tax Administration for further action.  It appears that a large number of cases were actually part of a fraud aiming to deplete cash from companies’ bank account(s) thorugh simulated transactions, thereby avoiding to disclose the actual taxable income. In addition, a large number of transactions was identified that aim to drain funds from the accounts of legal entities by describing the transfers in unreasonably high amounts as salaries. Moreover, </w:t>
      </w:r>
      <w:r w:rsidRPr="000E6FA4">
        <w:rPr>
          <w:rFonts w:ascii="Times New Roman" w:eastAsia="Calibri" w:hAnsi="Times New Roman" w:cs="Times New Roman"/>
          <w:noProof/>
          <w:color w:val="000000"/>
          <w:sz w:val="24"/>
          <w:szCs w:val="24"/>
          <w:lang w:val="en-GB"/>
        </w:rPr>
        <w:lastRenderedPageBreak/>
        <w:t xml:space="preserve">transactions were also identified as being part of misuse of individuals’ personal accounts for business purposes, with the aim of concealing tax liabilities. Furthermore, considerable share of loans in the overall company turnover was found to be suspicious from the point of view of potential tax evasion, as this behaviour may suggest that the company is mainly involved in grey economy. A number of APML disseminations were also related to repayment of company founder’s liquidity loans, due to suspicion that such loans had not actually been made.  </w:t>
      </w:r>
    </w:p>
    <w:p w:rsidR="004611B3" w:rsidRDefault="004611B3" w:rsidP="00D4230D">
      <w:pPr>
        <w:pStyle w:val="Heading3"/>
        <w:rPr>
          <w:rFonts w:eastAsia="Times New Roman"/>
          <w:bCs/>
          <w:noProof/>
          <w:lang w:val="en-GB"/>
        </w:rPr>
      </w:pPr>
      <w:bookmarkStart w:id="26" w:name="_Toc478372183"/>
    </w:p>
    <w:p w:rsidR="00C7383E" w:rsidRPr="000E6FA4" w:rsidRDefault="00C7383E" w:rsidP="00D4230D">
      <w:pPr>
        <w:pStyle w:val="Heading3"/>
        <w:rPr>
          <w:rFonts w:eastAsia="Times New Roman"/>
          <w:noProof/>
          <w:lang w:val="en-GB"/>
        </w:rPr>
      </w:pPr>
      <w:bookmarkStart w:id="27" w:name="_Toc179546474"/>
      <w:r w:rsidRPr="000E6FA4">
        <w:rPr>
          <w:rFonts w:eastAsia="Times New Roman"/>
          <w:bCs/>
          <w:noProof/>
          <w:lang w:val="en-GB"/>
        </w:rPr>
        <w:t>Agency for the Prevention of Corruption</w:t>
      </w:r>
      <w:bookmarkEnd w:id="26"/>
      <w:bookmarkEnd w:id="27"/>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 xml:space="preserve">In 2022, the Agency for the Prevention of Corruption sent 5 requests to the APML concerning suspected disproportion between the declared income and assets held by PEPs and their related persons. </w:t>
      </w: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p>
    <w:p w:rsidR="00C7383E" w:rsidRPr="000E6FA4" w:rsidRDefault="00C7383E" w:rsidP="00D4230D">
      <w:pPr>
        <w:pStyle w:val="Heading3"/>
        <w:rPr>
          <w:rFonts w:eastAsia="Times New Roman"/>
          <w:noProof/>
          <w:lang w:val="en-GB"/>
        </w:rPr>
      </w:pPr>
      <w:bookmarkStart w:id="28" w:name="_Toc478372184"/>
      <w:bookmarkStart w:id="29" w:name="_Toc179546475"/>
      <w:r w:rsidRPr="000E6FA4">
        <w:rPr>
          <w:rFonts w:eastAsia="Times New Roman"/>
          <w:bCs/>
          <w:noProof/>
          <w:lang w:val="en-GB"/>
        </w:rPr>
        <w:t>National Bank of Serbia</w:t>
      </w:r>
      <w:bookmarkEnd w:id="28"/>
      <w:bookmarkEnd w:id="29"/>
    </w:p>
    <w:p w:rsidR="00C7383E" w:rsidRPr="000E6FA4" w:rsidRDefault="00705497" w:rsidP="00C7383E">
      <w:pPr>
        <w:spacing w:after="0" w:line="240" w:lineRule="auto"/>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 xml:space="preserve">Pursuant to </w:t>
      </w:r>
      <w:r w:rsidRPr="000E6FA4">
        <w:rPr>
          <w:rFonts w:ascii="Times New Roman" w:eastAsia="Calibri" w:hAnsi="Times New Roman" w:cs="Times New Roman"/>
          <w:noProof/>
          <w:color w:val="000000"/>
          <w:sz w:val="24"/>
          <w:szCs w:val="24"/>
          <w:lang w:val="en-GB"/>
        </w:rPr>
        <w:t xml:space="preserve">an AML/CFT Cooperation Agreement signed between the NBS and APML </w:t>
      </w:r>
      <w:r w:rsidR="00C7383E" w:rsidRPr="000E6FA4">
        <w:rPr>
          <w:rFonts w:ascii="Times New Roman" w:eastAsia="Calibri" w:hAnsi="Times New Roman" w:cs="Times New Roman"/>
          <w:noProof/>
          <w:color w:val="000000"/>
          <w:sz w:val="24"/>
          <w:szCs w:val="24"/>
          <w:lang w:val="en-GB"/>
        </w:rPr>
        <w:t xml:space="preserve">n 2022, the National Bank of Serbia (NBS) sent 60 requests for information </w:t>
      </w:r>
      <w:r w:rsidRPr="000E6FA4">
        <w:rPr>
          <w:rFonts w:ascii="Times New Roman" w:eastAsia="Calibri" w:hAnsi="Times New Roman" w:cs="Times New Roman"/>
          <w:noProof/>
          <w:color w:val="000000"/>
          <w:sz w:val="24"/>
          <w:szCs w:val="24"/>
          <w:lang w:val="en-GB"/>
        </w:rPr>
        <w:t xml:space="preserve">to the APML </w:t>
      </w:r>
      <w:r w:rsidR="00C7383E" w:rsidRPr="000E6FA4">
        <w:rPr>
          <w:rFonts w:ascii="Times New Roman" w:eastAsia="Calibri" w:hAnsi="Times New Roman" w:cs="Times New Roman"/>
          <w:noProof/>
          <w:color w:val="000000"/>
          <w:sz w:val="24"/>
          <w:szCs w:val="24"/>
          <w:lang w:val="en-GB"/>
        </w:rPr>
        <w:t xml:space="preserve">on STRs </w:t>
      </w:r>
      <w:r>
        <w:rPr>
          <w:rFonts w:ascii="Times New Roman" w:eastAsia="Calibri" w:hAnsi="Times New Roman" w:cs="Times New Roman"/>
          <w:noProof/>
          <w:color w:val="000000"/>
          <w:sz w:val="24"/>
          <w:szCs w:val="24"/>
          <w:lang w:val="en-GB"/>
        </w:rPr>
        <w:t xml:space="preserve">filed </w:t>
      </w:r>
      <w:r w:rsidR="00C7383E" w:rsidRPr="000E6FA4">
        <w:rPr>
          <w:rFonts w:ascii="Times New Roman" w:eastAsia="Calibri" w:hAnsi="Times New Roman" w:cs="Times New Roman"/>
          <w:noProof/>
          <w:color w:val="000000"/>
          <w:sz w:val="24"/>
          <w:szCs w:val="24"/>
          <w:lang w:val="en-GB"/>
        </w:rPr>
        <w:t xml:space="preserve">by obliged entities (number and quality of STRs and CTRs) and for </w:t>
      </w:r>
      <w:r>
        <w:rPr>
          <w:rFonts w:ascii="Times New Roman" w:eastAsia="Calibri" w:hAnsi="Times New Roman" w:cs="Times New Roman"/>
          <w:noProof/>
          <w:color w:val="000000"/>
          <w:sz w:val="24"/>
          <w:szCs w:val="24"/>
          <w:lang w:val="en-GB"/>
        </w:rPr>
        <w:t xml:space="preserve">checking </w:t>
      </w:r>
      <w:r w:rsidR="00C7383E" w:rsidRPr="000E6FA4">
        <w:rPr>
          <w:rFonts w:ascii="Times New Roman" w:eastAsia="Calibri" w:hAnsi="Times New Roman" w:cs="Times New Roman"/>
          <w:noProof/>
          <w:color w:val="000000"/>
          <w:sz w:val="24"/>
          <w:szCs w:val="24"/>
          <w:lang w:val="en-GB"/>
        </w:rPr>
        <w:t xml:space="preserve">information about persons acquiring bank shares, as well as about persons intending to provide intermediary services in insurance business. </w:t>
      </w:r>
    </w:p>
    <w:p w:rsidR="00C7383E" w:rsidRPr="000E6FA4" w:rsidRDefault="00C7383E" w:rsidP="00C7383E">
      <w:pPr>
        <w:spacing w:after="0" w:line="240" w:lineRule="auto"/>
        <w:jc w:val="both"/>
        <w:rPr>
          <w:rFonts w:ascii="Times New Roman" w:eastAsia="Calibri" w:hAnsi="Times New Roman" w:cs="Times New Roman"/>
          <w:b/>
          <w:noProof/>
          <w:color w:val="000000"/>
          <w:sz w:val="24"/>
          <w:szCs w:val="24"/>
          <w:lang w:val="en-GB"/>
        </w:rPr>
      </w:pPr>
    </w:p>
    <w:p w:rsidR="00C7383E" w:rsidRPr="000E6FA4" w:rsidRDefault="00C7383E" w:rsidP="00D4230D">
      <w:pPr>
        <w:pStyle w:val="Heading3"/>
        <w:rPr>
          <w:rFonts w:eastAsia="Calibri"/>
          <w:noProof/>
          <w:lang w:val="en-GB"/>
        </w:rPr>
      </w:pPr>
      <w:bookmarkStart w:id="30" w:name="_Toc179546476"/>
      <w:r w:rsidRPr="000E6FA4">
        <w:rPr>
          <w:rFonts w:eastAsia="Calibri"/>
          <w:bCs/>
          <w:noProof/>
          <w:lang w:val="en-GB"/>
        </w:rPr>
        <w:t>Customs Administration</w:t>
      </w:r>
      <w:bookmarkEnd w:id="30"/>
    </w:p>
    <w:p w:rsidR="00C7383E" w:rsidRPr="000E6FA4" w:rsidRDefault="00C7383E" w:rsidP="00705497">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In 2022, the Customs Administration sent 2 notifications to the APML involving a suspicion on money laundering. In addition, the Customs Administration sent 4 disseminations to the APML</w:t>
      </w:r>
      <w:r w:rsidR="00705497">
        <w:rPr>
          <w:rFonts w:ascii="Times New Roman" w:eastAsia="Calibri" w:hAnsi="Times New Roman" w:cs="Times New Roman"/>
          <w:noProof/>
          <w:color w:val="000000"/>
          <w:sz w:val="24"/>
          <w:szCs w:val="24"/>
          <w:lang w:val="en-GB"/>
        </w:rPr>
        <w:t xml:space="preserve"> related to</w:t>
      </w:r>
      <w:r w:rsidR="00705497" w:rsidRPr="000E6FA4">
        <w:rPr>
          <w:rFonts w:ascii="Times New Roman" w:eastAsia="Calibri" w:hAnsi="Times New Roman" w:cs="Times New Roman"/>
          <w:noProof/>
          <w:color w:val="000000"/>
          <w:sz w:val="24"/>
          <w:szCs w:val="24"/>
          <w:lang w:val="en-GB"/>
        </w:rPr>
        <w:t xml:space="preserve"> infringements of the currency law</w:t>
      </w:r>
      <w:r w:rsidRPr="000E6FA4">
        <w:rPr>
          <w:rFonts w:ascii="Times New Roman" w:eastAsia="Calibri" w:hAnsi="Times New Roman" w:cs="Times New Roman"/>
          <w:noProof/>
          <w:color w:val="000000"/>
          <w:sz w:val="24"/>
          <w:szCs w:val="24"/>
          <w:lang w:val="en-GB"/>
        </w:rPr>
        <w:t>. In the same period</w:t>
      </w:r>
      <w:r w:rsidR="00705497">
        <w:rPr>
          <w:rFonts w:ascii="Times New Roman" w:eastAsia="Calibri" w:hAnsi="Times New Roman" w:cs="Times New Roman"/>
          <w:noProof/>
          <w:color w:val="000000"/>
          <w:sz w:val="24"/>
          <w:szCs w:val="24"/>
          <w:lang w:val="en-GB"/>
        </w:rPr>
        <w:t>, the</w:t>
      </w:r>
      <w:r w:rsidRPr="000E6FA4">
        <w:rPr>
          <w:rFonts w:ascii="Times New Roman" w:eastAsia="Calibri" w:hAnsi="Times New Roman" w:cs="Times New Roman"/>
          <w:noProof/>
          <w:color w:val="000000"/>
          <w:sz w:val="24"/>
          <w:szCs w:val="24"/>
          <w:lang w:val="en-GB"/>
        </w:rPr>
        <w:t xml:space="preserve"> APML sent 9 requests for information to relevant authorities </w:t>
      </w:r>
      <w:r w:rsidR="00705497">
        <w:rPr>
          <w:rFonts w:ascii="Times New Roman" w:eastAsia="Calibri" w:hAnsi="Times New Roman" w:cs="Times New Roman"/>
          <w:noProof/>
          <w:color w:val="000000"/>
          <w:sz w:val="24"/>
          <w:szCs w:val="24"/>
          <w:lang w:val="en-GB"/>
        </w:rPr>
        <w:t xml:space="preserve">that </w:t>
      </w:r>
      <w:r w:rsidRPr="000E6FA4">
        <w:rPr>
          <w:rFonts w:ascii="Times New Roman" w:eastAsia="Calibri" w:hAnsi="Times New Roman" w:cs="Times New Roman"/>
          <w:noProof/>
          <w:color w:val="000000"/>
          <w:sz w:val="24"/>
          <w:szCs w:val="24"/>
          <w:lang w:val="en-GB"/>
        </w:rPr>
        <w:t>were based on information received from the Customs Administration.</w:t>
      </w: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p>
    <w:p w:rsidR="00C7383E" w:rsidRPr="000E6FA4" w:rsidRDefault="00C7383E" w:rsidP="00D4230D">
      <w:pPr>
        <w:pStyle w:val="Heading3"/>
        <w:rPr>
          <w:rFonts w:eastAsia="Calibri"/>
          <w:noProof/>
          <w:lang w:val="en-GB"/>
        </w:rPr>
      </w:pPr>
      <w:bookmarkStart w:id="31" w:name="_Toc179546477"/>
      <w:r w:rsidRPr="000E6FA4">
        <w:rPr>
          <w:rFonts w:eastAsia="Calibri"/>
          <w:bCs/>
          <w:noProof/>
          <w:lang w:val="en-GB"/>
        </w:rPr>
        <w:t>Cooperation with foreign counterparts</w:t>
      </w:r>
      <w:bookmarkEnd w:id="31"/>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In 2022, the APML responded to 88 requests for information received from foreign counterparts. The requests for information mainly involved Serbian citizens holding bank accounts abroad who were suspected to have links with criminal groups or criminal activities, or foreign citizens holding bank account in Serbian commercial banks or being involved in criminal activities in Serbia.</w:t>
      </w: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As part of work on its own cases, the APML sent 106 requests for information to foreign FIUs.The requests for information mainly involved non-residents with bank accounts or business activities in Serbia, whose origin of funds or business activities raised suspicion. In addition, a number of the requests were sent to foreign FIUs in order to identify assets of Serbian citizens abroad.</w:t>
      </w: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An overview of FIUs with which the APML exchanged most of the information in 2022 is shown in the table below:</w:t>
      </w:r>
    </w:p>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C7383E" w:rsidRPr="000E6FA4" w:rsidTr="00D4230D">
        <w:tc>
          <w:tcPr>
            <w:tcW w:w="3080" w:type="dxa"/>
            <w:tcBorders>
              <w:bottom w:val="single" w:sz="4" w:space="0" w:color="auto"/>
            </w:tcBorders>
            <w:shd w:val="clear" w:color="auto" w:fill="795AA9"/>
          </w:tcPr>
          <w:p w:rsidR="00C7383E" w:rsidRPr="000E6FA4" w:rsidRDefault="00C7383E" w:rsidP="00C7383E">
            <w:pPr>
              <w:spacing w:after="0" w:line="240" w:lineRule="auto"/>
              <w:jc w:val="both"/>
              <w:rPr>
                <w:rFonts w:ascii="Times New Roman" w:eastAsia="Calibri" w:hAnsi="Times New Roman" w:cs="Times New Roman"/>
                <w:b/>
                <w:bCs/>
                <w:noProof/>
                <w:color w:val="FF0000"/>
                <w:sz w:val="24"/>
                <w:szCs w:val="24"/>
                <w:lang w:val="en-GB"/>
              </w:rPr>
            </w:pPr>
          </w:p>
        </w:tc>
        <w:tc>
          <w:tcPr>
            <w:tcW w:w="3081" w:type="dxa"/>
            <w:tcBorders>
              <w:bottom w:val="single" w:sz="4" w:space="0" w:color="auto"/>
            </w:tcBorders>
            <w:shd w:val="clear" w:color="auto" w:fill="795AA9"/>
          </w:tcPr>
          <w:p w:rsidR="00C7383E" w:rsidRPr="000E6FA4" w:rsidRDefault="00C7383E" w:rsidP="00C7383E">
            <w:pPr>
              <w:spacing w:after="0" w:line="240" w:lineRule="auto"/>
              <w:jc w:val="center"/>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Requests by foreign FIUs</w:t>
            </w:r>
          </w:p>
        </w:tc>
        <w:tc>
          <w:tcPr>
            <w:tcW w:w="3081" w:type="dxa"/>
            <w:tcBorders>
              <w:bottom w:val="single" w:sz="4" w:space="0" w:color="auto"/>
            </w:tcBorders>
            <w:shd w:val="clear" w:color="auto" w:fill="795AA9"/>
          </w:tcPr>
          <w:p w:rsidR="00C7383E" w:rsidRPr="000E6FA4" w:rsidRDefault="00C7383E" w:rsidP="00C7383E">
            <w:pPr>
              <w:spacing w:after="0" w:line="240" w:lineRule="auto"/>
              <w:jc w:val="center"/>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APML’s requests</w:t>
            </w:r>
          </w:p>
        </w:tc>
      </w:tr>
      <w:tr w:rsidR="00C7383E" w:rsidRPr="000E6FA4" w:rsidTr="00D4230D">
        <w:tc>
          <w:tcPr>
            <w:tcW w:w="3080"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Montenegro</w:t>
            </w:r>
          </w:p>
        </w:tc>
        <w:tc>
          <w:tcPr>
            <w:tcW w:w="3081"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17</w:t>
            </w:r>
          </w:p>
        </w:tc>
        <w:tc>
          <w:tcPr>
            <w:tcW w:w="3081"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6</w:t>
            </w:r>
          </w:p>
        </w:tc>
      </w:tr>
      <w:tr w:rsidR="00C7383E" w:rsidRPr="000E6FA4" w:rsidTr="00D4230D">
        <w:tc>
          <w:tcPr>
            <w:tcW w:w="3080"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Bosnia and Herzegovina</w:t>
            </w:r>
          </w:p>
        </w:tc>
        <w:tc>
          <w:tcPr>
            <w:tcW w:w="3081" w:type="dxa"/>
            <w:shd w:val="clear" w:color="auto" w:fill="B8CCE4"/>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8</w:t>
            </w:r>
          </w:p>
        </w:tc>
        <w:tc>
          <w:tcPr>
            <w:tcW w:w="3081" w:type="dxa"/>
            <w:shd w:val="clear" w:color="auto" w:fill="B8CCE4"/>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6</w:t>
            </w:r>
          </w:p>
        </w:tc>
      </w:tr>
      <w:tr w:rsidR="00C7383E" w:rsidRPr="000E6FA4" w:rsidTr="00D4230D">
        <w:tc>
          <w:tcPr>
            <w:tcW w:w="3080"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The Netherlands</w:t>
            </w:r>
          </w:p>
        </w:tc>
        <w:tc>
          <w:tcPr>
            <w:tcW w:w="3081"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6</w:t>
            </w:r>
          </w:p>
        </w:tc>
        <w:tc>
          <w:tcPr>
            <w:tcW w:w="3081"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3</w:t>
            </w:r>
          </w:p>
        </w:tc>
      </w:tr>
      <w:tr w:rsidR="00C7383E" w:rsidRPr="000E6FA4" w:rsidTr="00D4230D">
        <w:tc>
          <w:tcPr>
            <w:tcW w:w="3080"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Russian Federation</w:t>
            </w:r>
          </w:p>
        </w:tc>
        <w:tc>
          <w:tcPr>
            <w:tcW w:w="3081"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4</w:t>
            </w:r>
          </w:p>
        </w:tc>
        <w:tc>
          <w:tcPr>
            <w:tcW w:w="3081"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7</w:t>
            </w:r>
          </w:p>
        </w:tc>
      </w:tr>
      <w:tr w:rsidR="00C7383E" w:rsidRPr="000E6FA4" w:rsidTr="00D4230D">
        <w:tc>
          <w:tcPr>
            <w:tcW w:w="3080"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lastRenderedPageBreak/>
              <w:t>United Kingdom</w:t>
            </w:r>
          </w:p>
        </w:tc>
        <w:tc>
          <w:tcPr>
            <w:tcW w:w="3081" w:type="dxa"/>
            <w:shd w:val="clear" w:color="auto" w:fill="B8CCE4"/>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1</w:t>
            </w:r>
          </w:p>
        </w:tc>
        <w:tc>
          <w:tcPr>
            <w:tcW w:w="3081" w:type="dxa"/>
            <w:shd w:val="clear" w:color="auto" w:fill="B8CCE4"/>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6</w:t>
            </w:r>
          </w:p>
        </w:tc>
      </w:tr>
      <w:tr w:rsidR="00C7383E" w:rsidRPr="000E6FA4" w:rsidTr="00D4230D">
        <w:tc>
          <w:tcPr>
            <w:tcW w:w="3080"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Hungary</w:t>
            </w:r>
          </w:p>
        </w:tc>
        <w:tc>
          <w:tcPr>
            <w:tcW w:w="3081"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2</w:t>
            </w:r>
          </w:p>
        </w:tc>
        <w:tc>
          <w:tcPr>
            <w:tcW w:w="3081" w:type="dxa"/>
            <w:tcBorders>
              <w:bottom w:val="single" w:sz="4" w:space="0" w:color="auto"/>
            </w:tcBorders>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5</w:t>
            </w:r>
          </w:p>
        </w:tc>
      </w:tr>
      <w:tr w:rsidR="00C7383E" w:rsidRPr="000E6FA4" w:rsidTr="00D4230D">
        <w:tc>
          <w:tcPr>
            <w:tcW w:w="3080"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Italy</w:t>
            </w:r>
          </w:p>
        </w:tc>
        <w:tc>
          <w:tcPr>
            <w:tcW w:w="3081" w:type="dxa"/>
            <w:shd w:val="clear" w:color="auto" w:fill="B8CCE4"/>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2</w:t>
            </w:r>
          </w:p>
        </w:tc>
        <w:tc>
          <w:tcPr>
            <w:tcW w:w="3081" w:type="dxa"/>
            <w:shd w:val="clear" w:color="auto" w:fill="B8CCE4"/>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5</w:t>
            </w:r>
          </w:p>
        </w:tc>
      </w:tr>
      <w:tr w:rsidR="00C7383E" w:rsidRPr="000E6FA4" w:rsidTr="00D4230D">
        <w:tc>
          <w:tcPr>
            <w:tcW w:w="3080" w:type="dxa"/>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Slovenia</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4</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4</w:t>
            </w:r>
          </w:p>
        </w:tc>
      </w:tr>
      <w:tr w:rsidR="00C7383E" w:rsidRPr="000E6FA4" w:rsidTr="00D4230D">
        <w:tc>
          <w:tcPr>
            <w:tcW w:w="3080" w:type="dxa"/>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Slovakia</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3</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3</w:t>
            </w:r>
          </w:p>
        </w:tc>
      </w:tr>
      <w:tr w:rsidR="00C7383E" w:rsidRPr="000E6FA4" w:rsidTr="00D4230D">
        <w:tc>
          <w:tcPr>
            <w:tcW w:w="3080" w:type="dxa"/>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Ukraine</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3</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3</w:t>
            </w:r>
          </w:p>
        </w:tc>
      </w:tr>
      <w:tr w:rsidR="00C7383E" w:rsidRPr="000E6FA4" w:rsidTr="00D4230D">
        <w:tc>
          <w:tcPr>
            <w:tcW w:w="3080" w:type="dxa"/>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United States of America</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2</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4</w:t>
            </w:r>
          </w:p>
        </w:tc>
      </w:tr>
      <w:tr w:rsidR="00C7383E" w:rsidRPr="000E6FA4" w:rsidTr="00D4230D">
        <w:tc>
          <w:tcPr>
            <w:tcW w:w="3080" w:type="dxa"/>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Bulgaria</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2</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3</w:t>
            </w:r>
          </w:p>
        </w:tc>
      </w:tr>
      <w:tr w:rsidR="00C7383E" w:rsidRPr="000E6FA4" w:rsidTr="00D4230D">
        <w:tc>
          <w:tcPr>
            <w:tcW w:w="3080" w:type="dxa"/>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Switzerland</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2</w:t>
            </w:r>
          </w:p>
        </w:tc>
        <w:tc>
          <w:tcPr>
            <w:tcW w:w="3081" w:type="dxa"/>
            <w:shd w:val="clear" w:color="auto" w:fill="DBE5F1"/>
          </w:tcPr>
          <w:p w:rsidR="00C7383E" w:rsidRPr="000E6FA4" w:rsidRDefault="00C7383E" w:rsidP="00C7383E">
            <w:pPr>
              <w:spacing w:after="0" w:line="240" w:lineRule="auto"/>
              <w:jc w:val="center"/>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3</w:t>
            </w:r>
          </w:p>
        </w:tc>
      </w:tr>
    </w:tbl>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p>
    <w:p w:rsidR="00C7383E" w:rsidRPr="000E6FA4" w:rsidRDefault="00C7383E" w:rsidP="00D4230D">
      <w:pPr>
        <w:pStyle w:val="Heading2"/>
        <w:rPr>
          <w:rFonts w:eastAsia="Calibri"/>
          <w:b w:val="0"/>
          <w:noProof/>
          <w:lang w:val="en-GB"/>
        </w:rPr>
      </w:pPr>
      <w:bookmarkStart w:id="32" w:name="_Toc179546478"/>
      <w:r w:rsidRPr="000E6FA4">
        <w:rPr>
          <w:rFonts w:eastAsia="Calibri"/>
          <w:bCs/>
          <w:noProof/>
          <w:lang w:val="en-GB"/>
        </w:rPr>
        <w:t>ANALYSIS OF SUSPICIOUS TRANSACTIONS</w:t>
      </w:r>
      <w:bookmarkEnd w:id="32"/>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In 2022, obliged entities filed a total of 1</w:t>
      </w:r>
      <w:r w:rsidR="0008665C">
        <w:rPr>
          <w:rFonts w:ascii="Times New Roman" w:eastAsia="Calibri" w:hAnsi="Times New Roman" w:cs="Times New Roman"/>
          <w:noProof/>
          <w:color w:val="000000"/>
          <w:sz w:val="24"/>
          <w:szCs w:val="24"/>
          <w:lang w:val="en-GB"/>
        </w:rPr>
        <w:t xml:space="preserve"> </w:t>
      </w:r>
      <w:r w:rsidRPr="000E6FA4">
        <w:rPr>
          <w:rFonts w:ascii="Times New Roman" w:eastAsia="Calibri" w:hAnsi="Times New Roman" w:cs="Times New Roman"/>
          <w:noProof/>
          <w:color w:val="000000"/>
          <w:sz w:val="24"/>
          <w:szCs w:val="24"/>
          <w:lang w:val="en-GB"/>
        </w:rPr>
        <w:t>563 SARs to the APML. An overview of the SARs broken down by obliged entities is shown in the table below:</w:t>
      </w:r>
    </w:p>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7383E" w:rsidRPr="000E6FA4" w:rsidTr="00D4230D">
        <w:tc>
          <w:tcPr>
            <w:tcW w:w="4621" w:type="dxa"/>
            <w:tcBorders>
              <w:bottom w:val="single" w:sz="4" w:space="0" w:color="auto"/>
            </w:tcBorders>
            <w:shd w:val="clear" w:color="auto" w:fill="795AA9"/>
            <w:hideMark/>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Obliged entities</w:t>
            </w:r>
          </w:p>
        </w:tc>
        <w:tc>
          <w:tcPr>
            <w:tcW w:w="4621" w:type="dxa"/>
            <w:tcBorders>
              <w:bottom w:val="single" w:sz="4" w:space="0" w:color="auto"/>
            </w:tcBorders>
            <w:shd w:val="clear" w:color="auto" w:fill="795AA9"/>
            <w:hideMark/>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Number of SARs</w:t>
            </w:r>
          </w:p>
        </w:tc>
      </w:tr>
      <w:tr w:rsidR="00C7383E" w:rsidRPr="000E6FA4" w:rsidTr="007458EF">
        <w:trPr>
          <w:trHeight w:val="201"/>
        </w:trPr>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Banks</w:t>
            </w:r>
          </w:p>
        </w:tc>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782</w:t>
            </w:r>
          </w:p>
        </w:tc>
      </w:tr>
      <w:tr w:rsidR="00C7383E" w:rsidRPr="000E6FA4" w:rsidTr="00D4230D">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Accountants</w:t>
            </w:r>
          </w:p>
        </w:tc>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14</w:t>
            </w:r>
          </w:p>
        </w:tc>
      </w:tr>
      <w:tr w:rsidR="00C7383E" w:rsidRPr="000E6FA4" w:rsidTr="00D4230D">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Auditors</w:t>
            </w:r>
          </w:p>
        </w:tc>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8</w:t>
            </w:r>
          </w:p>
        </w:tc>
      </w:tr>
      <w:tr w:rsidR="00C7383E" w:rsidRPr="000E6FA4" w:rsidTr="00D4230D">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Insurance companies</w:t>
            </w:r>
          </w:p>
        </w:tc>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13</w:t>
            </w:r>
          </w:p>
        </w:tc>
      </w:tr>
      <w:tr w:rsidR="00C7383E" w:rsidRPr="000E6FA4" w:rsidTr="00D4230D">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Factoring firms</w:t>
            </w:r>
          </w:p>
        </w:tc>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1</w:t>
            </w:r>
          </w:p>
        </w:tc>
      </w:tr>
      <w:tr w:rsidR="00C7383E" w:rsidRPr="000E6FA4" w:rsidTr="00D4230D">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Broker-dealer companies</w:t>
            </w:r>
          </w:p>
        </w:tc>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7</w:t>
            </w:r>
          </w:p>
        </w:tc>
      </w:tr>
      <w:tr w:rsidR="00C7383E" w:rsidRPr="000E6FA4" w:rsidTr="00D4230D">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Postal operators</w:t>
            </w:r>
          </w:p>
        </w:tc>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12</w:t>
            </w:r>
          </w:p>
        </w:tc>
      </w:tr>
      <w:tr w:rsidR="00C7383E" w:rsidRPr="000E6FA4" w:rsidTr="00D4230D">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Real-estate agents</w:t>
            </w:r>
          </w:p>
        </w:tc>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15</w:t>
            </w:r>
          </w:p>
        </w:tc>
      </w:tr>
      <w:tr w:rsidR="00C7383E" w:rsidRPr="000E6FA4" w:rsidTr="00D4230D">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Lawyers</w:t>
            </w:r>
          </w:p>
        </w:tc>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1</w:t>
            </w:r>
          </w:p>
        </w:tc>
      </w:tr>
      <w:tr w:rsidR="00C7383E" w:rsidRPr="000E6FA4" w:rsidTr="00D4230D">
        <w:trPr>
          <w:trHeight w:val="133"/>
        </w:trPr>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bCs/>
                <w:noProof/>
                <w:color w:val="000000"/>
                <w:sz w:val="24"/>
                <w:szCs w:val="24"/>
                <w:lang w:val="en-GB"/>
              </w:rPr>
            </w:pPr>
            <w:r w:rsidRPr="000E6FA4">
              <w:rPr>
                <w:rFonts w:ascii="Times New Roman" w:eastAsia="Calibri" w:hAnsi="Times New Roman" w:cs="Times New Roman"/>
                <w:b/>
                <w:bCs/>
                <w:noProof/>
                <w:color w:val="000000"/>
                <w:sz w:val="24"/>
                <w:szCs w:val="24"/>
                <w:lang w:val="en-GB"/>
              </w:rPr>
              <w:t>Public notaries</w:t>
            </w:r>
          </w:p>
        </w:tc>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239</w:t>
            </w:r>
          </w:p>
        </w:tc>
      </w:tr>
      <w:tr w:rsidR="00C7383E" w:rsidRPr="000E6FA4" w:rsidTr="00D4230D">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Payment institutions</w:t>
            </w:r>
          </w:p>
        </w:tc>
        <w:tc>
          <w:tcPr>
            <w:tcW w:w="4621" w:type="dxa"/>
            <w:shd w:val="clear" w:color="auto" w:fill="B8CCE4"/>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336</w:t>
            </w:r>
          </w:p>
        </w:tc>
      </w:tr>
      <w:tr w:rsidR="00C7383E" w:rsidRPr="000E6FA4" w:rsidTr="00D4230D">
        <w:trPr>
          <w:trHeight w:val="289"/>
        </w:trPr>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Games of chance providers</w:t>
            </w:r>
          </w:p>
        </w:tc>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29</w:t>
            </w:r>
          </w:p>
        </w:tc>
      </w:tr>
      <w:tr w:rsidR="00C7383E" w:rsidRPr="000E6FA4" w:rsidTr="00D4230D">
        <w:trPr>
          <w:trHeight w:val="289"/>
        </w:trPr>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Currency exchange offices</w:t>
            </w:r>
          </w:p>
        </w:tc>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85</w:t>
            </w:r>
          </w:p>
        </w:tc>
      </w:tr>
      <w:tr w:rsidR="00C7383E" w:rsidRPr="000E6FA4" w:rsidTr="00D4230D">
        <w:trPr>
          <w:trHeight w:val="289"/>
        </w:trPr>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Leasing companies</w:t>
            </w:r>
          </w:p>
        </w:tc>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14</w:t>
            </w:r>
          </w:p>
        </w:tc>
      </w:tr>
      <w:tr w:rsidR="00C7383E" w:rsidRPr="000E6FA4" w:rsidTr="00D4230D">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VASP</w:t>
            </w:r>
            <w:r w:rsidR="007458EF">
              <w:rPr>
                <w:rFonts w:ascii="Times New Roman" w:eastAsia="Calibri" w:hAnsi="Times New Roman" w:cs="Times New Roman"/>
                <w:b/>
                <w:bCs/>
                <w:noProof/>
                <w:color w:val="000000"/>
                <w:sz w:val="24"/>
                <w:szCs w:val="24"/>
                <w:lang w:val="en-GB"/>
              </w:rPr>
              <w:t>s</w:t>
            </w:r>
          </w:p>
        </w:tc>
        <w:tc>
          <w:tcPr>
            <w:tcW w:w="4621" w:type="dxa"/>
            <w:tcBorders>
              <w:bottom w:val="single" w:sz="4" w:space="0" w:color="auto"/>
            </w:tcBorders>
            <w:shd w:val="clear" w:color="auto" w:fill="DBE5F1"/>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7</w:t>
            </w:r>
          </w:p>
        </w:tc>
      </w:tr>
      <w:tr w:rsidR="00C7383E" w:rsidRPr="000E6FA4" w:rsidTr="00D4230D">
        <w:tc>
          <w:tcPr>
            <w:tcW w:w="4621" w:type="dxa"/>
            <w:shd w:val="clear" w:color="auto" w:fill="DBE5F1"/>
          </w:tcPr>
          <w:p w:rsidR="00C7383E" w:rsidRPr="000E6FA4" w:rsidRDefault="00C7383E" w:rsidP="00C7383E">
            <w:pPr>
              <w:spacing w:after="0" w:line="240" w:lineRule="auto"/>
              <w:jc w:val="both"/>
              <w:rPr>
                <w:rFonts w:ascii="Times New Roman" w:eastAsia="Calibri" w:hAnsi="Times New Roman" w:cs="Times New Roman"/>
                <w:b/>
                <w:noProof/>
                <w:color w:val="000000"/>
                <w:sz w:val="24"/>
                <w:szCs w:val="24"/>
                <w:lang w:val="en-GB"/>
              </w:rPr>
            </w:pPr>
            <w:r w:rsidRPr="000E6FA4">
              <w:rPr>
                <w:rFonts w:ascii="Times New Roman" w:eastAsia="Calibri" w:hAnsi="Times New Roman" w:cs="Times New Roman"/>
                <w:b/>
                <w:bCs/>
                <w:noProof/>
                <w:color w:val="000000"/>
                <w:sz w:val="24"/>
                <w:szCs w:val="24"/>
                <w:lang w:val="en-GB"/>
              </w:rPr>
              <w:t>Total</w:t>
            </w:r>
          </w:p>
        </w:tc>
        <w:tc>
          <w:tcPr>
            <w:tcW w:w="4621" w:type="dxa"/>
            <w:shd w:val="clear" w:color="auto" w:fill="DBE5F1"/>
          </w:tcPr>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1.563</w:t>
            </w:r>
          </w:p>
        </w:tc>
      </w:tr>
      <w:tr w:rsidR="00C7383E" w:rsidRPr="000E6FA4" w:rsidTr="00D4230D">
        <w:tc>
          <w:tcPr>
            <w:tcW w:w="4621" w:type="dxa"/>
            <w:shd w:val="clear" w:color="auto" w:fill="DBE5F1"/>
            <w:hideMark/>
          </w:tcPr>
          <w:p w:rsidR="00C7383E" w:rsidRPr="000E6FA4" w:rsidRDefault="00C7383E" w:rsidP="00C7383E">
            <w:pPr>
              <w:spacing w:after="0" w:line="240" w:lineRule="auto"/>
              <w:jc w:val="both"/>
              <w:rPr>
                <w:rFonts w:ascii="Times New Roman" w:eastAsia="Calibri" w:hAnsi="Times New Roman" w:cs="Times New Roman"/>
                <w:b/>
                <w:noProof/>
                <w:color w:val="FF0000"/>
                <w:sz w:val="24"/>
                <w:szCs w:val="24"/>
                <w:lang w:val="en-GB"/>
              </w:rPr>
            </w:pPr>
          </w:p>
        </w:tc>
        <w:tc>
          <w:tcPr>
            <w:tcW w:w="4621" w:type="dxa"/>
            <w:shd w:val="clear" w:color="auto" w:fill="DBE5F1"/>
            <w:hideMark/>
          </w:tcPr>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tc>
      </w:tr>
      <w:tr w:rsidR="00C7383E" w:rsidRPr="000E6FA4" w:rsidTr="00D4230D">
        <w:tc>
          <w:tcPr>
            <w:tcW w:w="4621" w:type="dxa"/>
            <w:shd w:val="clear" w:color="auto" w:fill="DBE5F1"/>
            <w:hideMark/>
          </w:tcPr>
          <w:p w:rsidR="00C7383E" w:rsidRPr="000E6FA4" w:rsidRDefault="00C7383E" w:rsidP="00C7383E">
            <w:pPr>
              <w:spacing w:after="0" w:line="240" w:lineRule="auto"/>
              <w:jc w:val="both"/>
              <w:rPr>
                <w:rFonts w:ascii="Times New Roman" w:eastAsia="Calibri" w:hAnsi="Times New Roman" w:cs="Times New Roman"/>
                <w:b/>
                <w:noProof/>
                <w:color w:val="FF0000"/>
                <w:sz w:val="24"/>
                <w:szCs w:val="24"/>
                <w:lang w:val="en-GB"/>
              </w:rPr>
            </w:pPr>
          </w:p>
        </w:tc>
        <w:tc>
          <w:tcPr>
            <w:tcW w:w="4621" w:type="dxa"/>
            <w:shd w:val="clear" w:color="auto" w:fill="DBE5F1"/>
            <w:hideMark/>
          </w:tcPr>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tc>
      </w:tr>
    </w:tbl>
    <w:p w:rsidR="00C7383E" w:rsidRPr="000E6FA4" w:rsidRDefault="00C7383E" w:rsidP="00C7383E">
      <w:pPr>
        <w:spacing w:after="0" w:line="240" w:lineRule="auto"/>
        <w:jc w:val="both"/>
        <w:rPr>
          <w:rFonts w:ascii="Times New Roman" w:eastAsia="Calibri" w:hAnsi="Times New Roman" w:cs="Times New Roman"/>
          <w:noProof/>
          <w:color w:val="FF0000"/>
          <w:sz w:val="24"/>
          <w:szCs w:val="24"/>
          <w:lang w:val="en-GB"/>
        </w:rPr>
      </w:pP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As can be seen from the table above, most of the SARs in 2022 were reported by banks, payment institutions and public notaries.</w:t>
      </w:r>
    </w:p>
    <w:p w:rsidR="00C7383E" w:rsidRPr="000E6FA4" w:rsidRDefault="00C7383E" w:rsidP="00C7383E">
      <w:pPr>
        <w:spacing w:after="0" w:line="240" w:lineRule="auto"/>
        <w:jc w:val="both"/>
        <w:rPr>
          <w:rFonts w:ascii="Times New Roman" w:eastAsia="Calibri" w:hAnsi="Times New Roman" w:cs="Times New Roman"/>
          <w:noProof/>
          <w:color w:val="000000"/>
          <w:sz w:val="24"/>
          <w:szCs w:val="24"/>
          <w:lang w:val="en-GB"/>
        </w:rPr>
      </w:pPr>
    </w:p>
    <w:p w:rsidR="00AE2F2E" w:rsidRPr="000E6FA4" w:rsidRDefault="00AE2F2E" w:rsidP="00AE2F2E">
      <w:pPr>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An analysis of SARs has revealed a typology, i.e. a large number of SARs involves purchase of secondary raw-materials and abuse of this business for money laundering and for depleting legal entity bank accounts. </w:t>
      </w:r>
    </w:p>
    <w:p w:rsidR="00AE2F2E" w:rsidRPr="000E6FA4" w:rsidRDefault="00AE2F2E" w:rsidP="00AE2F2E">
      <w:pPr>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Also, a large number of SARs filed involves transactions between related parties and dubious economic rationale of the transactions. This pattern of behaviour has recurred for years now and can be considered a typology.</w:t>
      </w:r>
    </w:p>
    <w:p w:rsidR="00AE2F2E" w:rsidRPr="000E6FA4" w:rsidRDefault="00AE2F2E" w:rsidP="00AE2F2E">
      <w:pPr>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lastRenderedPageBreak/>
        <w:t xml:space="preserve">One of the typologies is also the method whereby non-resident persons (natural or legal) open bank accounts or bank accounts are opened for Serbian legal entities whose founders are foreign nationals. Such bank accounts are mainly used for re-export transactions. This typology raises the question of the true economic purpose of the conducted re-export transactions. </w:t>
      </w:r>
    </w:p>
    <w:p w:rsidR="00AE2F2E" w:rsidRPr="000E6FA4" w:rsidRDefault="00AE2F2E" w:rsidP="00AE2F2E">
      <w:pPr>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The parties in the reported but not further disseminated transactions, i.e. those where there was not enough ground for suspicion on ML or TF, are still being monitored and should any new related SARs or CTRs be filed, such persons will be reviewed and reassessed. </w:t>
      </w:r>
    </w:p>
    <w:p w:rsidR="00225BCE" w:rsidRPr="000E6FA4" w:rsidRDefault="00AE2F2E" w:rsidP="00AE2F2E">
      <w:pPr>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Also, the</w:t>
      </w:r>
      <w:r w:rsidR="0008665C">
        <w:rPr>
          <w:rFonts w:ascii="Times New Roman" w:hAnsi="Times New Roman" w:cs="Times New Roman"/>
          <w:sz w:val="24"/>
          <w:szCs w:val="24"/>
          <w:lang w:val="en-GB"/>
        </w:rPr>
        <w:t xml:space="preserve"> APML in 2022 sent a total of 9 </w:t>
      </w:r>
      <w:r w:rsidRPr="000E6FA4">
        <w:rPr>
          <w:rFonts w:ascii="Times New Roman" w:hAnsi="Times New Roman" w:cs="Times New Roman"/>
          <w:sz w:val="24"/>
          <w:szCs w:val="24"/>
          <w:lang w:val="en-GB"/>
        </w:rPr>
        <w:t>186 requests to obliged entities with the aim of obtaining additional information required for analysis.</w:t>
      </w:r>
    </w:p>
    <w:p w:rsidR="004611B3" w:rsidRDefault="004611B3" w:rsidP="00DA38FB">
      <w:pPr>
        <w:pStyle w:val="Heading2"/>
        <w:rPr>
          <w:bCs/>
          <w:lang w:val="en-GB"/>
        </w:rPr>
      </w:pPr>
    </w:p>
    <w:p w:rsidR="007D0B6A" w:rsidRPr="000E6FA4" w:rsidRDefault="008D09AB" w:rsidP="00DA38FB">
      <w:pPr>
        <w:pStyle w:val="Heading2"/>
        <w:rPr>
          <w:lang w:val="en-GB"/>
        </w:rPr>
      </w:pPr>
      <w:bookmarkStart w:id="33" w:name="_Toc179546479"/>
      <w:r w:rsidRPr="000E6FA4">
        <w:rPr>
          <w:bCs/>
          <w:lang w:val="en-GB"/>
        </w:rPr>
        <w:t>PREVENTION OF THE FINANCING OF TERRORISM</w:t>
      </w:r>
      <w:bookmarkEnd w:id="33"/>
    </w:p>
    <w:p w:rsidR="0020128C" w:rsidRPr="000E6FA4" w:rsidRDefault="00A657E0" w:rsidP="00A657E0">
      <w:pPr>
        <w:pStyle w:val="NoSpacing"/>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Suspicious transaction reports and other information filed by obliged entities in relation to terrorism financing are analysed by the CFT Team, which also works with other authorities and foreign counterparts.</w:t>
      </w:r>
    </w:p>
    <w:p w:rsidR="004F53A2" w:rsidRPr="000E6FA4" w:rsidRDefault="004F53A2" w:rsidP="00A657E0">
      <w:pPr>
        <w:pStyle w:val="NoSpacing"/>
        <w:jc w:val="both"/>
        <w:rPr>
          <w:rFonts w:ascii="Times New Roman" w:hAnsi="Times New Roman" w:cs="Times New Roman"/>
          <w:sz w:val="24"/>
          <w:szCs w:val="24"/>
          <w:lang w:val="en-GB"/>
        </w:rPr>
      </w:pPr>
    </w:p>
    <w:p w:rsidR="0020128C" w:rsidRPr="000E6FA4" w:rsidRDefault="00A657E0" w:rsidP="0020128C">
      <w:pPr>
        <w:pStyle w:val="NoSpacing"/>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In 2022, the CFT Team participated, together with other authorities, in the implementation of the relevant 2022-2024 Action Plan items. Additionally, CFT Team members were also active in the work of AML/CFT Coordination Body expert teams and in the Working Group for Supervision of NPOs.</w:t>
      </w:r>
    </w:p>
    <w:p w:rsidR="0020128C" w:rsidRPr="000E6FA4" w:rsidRDefault="0020128C" w:rsidP="0020128C">
      <w:pPr>
        <w:pStyle w:val="NoSpacing"/>
        <w:jc w:val="both"/>
        <w:rPr>
          <w:rFonts w:ascii="Times New Roman" w:hAnsi="Times New Roman" w:cs="Times New Roman"/>
          <w:sz w:val="24"/>
          <w:szCs w:val="24"/>
          <w:lang w:val="en-GB"/>
        </w:rPr>
      </w:pPr>
    </w:p>
    <w:p w:rsidR="00A657E0" w:rsidRPr="000E6FA4" w:rsidRDefault="0020128C" w:rsidP="0020128C">
      <w:pPr>
        <w:pStyle w:val="NoSpacing"/>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In addition to the above activities at the strategic level, the CFT Team has intensive cooperation with the Security Information Agency and the Ministry of Interior Service for Combating Terrorism in terms of gathering and analysing financial intelligence on persons suspected to be involved in terrorist activities.</w:t>
      </w:r>
    </w:p>
    <w:p w:rsidR="0020128C" w:rsidRPr="000E6FA4" w:rsidRDefault="0020128C" w:rsidP="0020128C">
      <w:pPr>
        <w:pStyle w:val="NoSpacing"/>
        <w:jc w:val="both"/>
        <w:rPr>
          <w:rFonts w:ascii="Times New Roman" w:hAnsi="Times New Roman" w:cs="Times New Roman"/>
          <w:sz w:val="24"/>
          <w:szCs w:val="24"/>
          <w:lang w:val="en-GB"/>
        </w:rPr>
      </w:pPr>
    </w:p>
    <w:p w:rsidR="00A657E0" w:rsidRPr="000E6FA4" w:rsidRDefault="00A657E0" w:rsidP="0020128C">
      <w:pPr>
        <w:pStyle w:val="NoSpacing"/>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The CFT Team checked in 2022 all the suspicious entities referred to in the requests of other authorities, foreign </w:t>
      </w:r>
      <w:r w:rsidR="0008665C" w:rsidRPr="000E6FA4">
        <w:rPr>
          <w:rFonts w:ascii="Times New Roman" w:hAnsi="Times New Roman" w:cs="Times New Roman"/>
          <w:sz w:val="24"/>
          <w:szCs w:val="24"/>
          <w:lang w:val="en-GB"/>
        </w:rPr>
        <w:t>counterparts</w:t>
      </w:r>
      <w:r w:rsidRPr="000E6FA4">
        <w:rPr>
          <w:rFonts w:ascii="Times New Roman" w:hAnsi="Times New Roman" w:cs="Times New Roman"/>
          <w:sz w:val="24"/>
          <w:szCs w:val="24"/>
          <w:lang w:val="en-GB"/>
        </w:rPr>
        <w:t xml:space="preserve"> and SARs, thereby contributing to the implementation of Measure 4.1 of the AML/CFT Strategy, </w:t>
      </w:r>
      <w:r w:rsidR="0008665C" w:rsidRPr="000E6FA4">
        <w:rPr>
          <w:rFonts w:ascii="Times New Roman" w:hAnsi="Times New Roman" w:cs="Times New Roman"/>
          <w:sz w:val="24"/>
          <w:szCs w:val="24"/>
          <w:lang w:val="en-GB"/>
        </w:rPr>
        <w:t>i.e.</w:t>
      </w:r>
      <w:r w:rsidRPr="000E6FA4">
        <w:rPr>
          <w:rFonts w:ascii="Times New Roman" w:hAnsi="Times New Roman" w:cs="Times New Roman"/>
          <w:sz w:val="24"/>
          <w:szCs w:val="24"/>
          <w:lang w:val="en-GB"/>
        </w:rPr>
        <w:t xml:space="preserve"> the 2022-2024 Action Plan items related to the sustainability of the system of investigating and prosecuting terrorism financing. </w:t>
      </w:r>
    </w:p>
    <w:p w:rsidR="00A657E0" w:rsidRPr="000E6FA4" w:rsidRDefault="00A657E0" w:rsidP="00A657E0">
      <w:pPr>
        <w:spacing w:after="0" w:line="276" w:lineRule="auto"/>
        <w:jc w:val="both"/>
        <w:rPr>
          <w:rFonts w:ascii="Times New Roman" w:hAnsi="Times New Roman" w:cs="Times New Roman"/>
          <w:sz w:val="24"/>
          <w:szCs w:val="24"/>
          <w:lang w:val="en-GB"/>
        </w:rPr>
      </w:pPr>
    </w:p>
    <w:p w:rsidR="008D09AB" w:rsidRPr="000E6FA4" w:rsidRDefault="00A657E0" w:rsidP="0026065F">
      <w:pPr>
        <w:spacing w:after="0" w:line="276"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In addition to checking suspicious </w:t>
      </w:r>
      <w:r w:rsidR="0008665C" w:rsidRPr="000E6FA4">
        <w:rPr>
          <w:rFonts w:ascii="Times New Roman" w:hAnsi="Times New Roman" w:cs="Times New Roman"/>
          <w:sz w:val="24"/>
          <w:szCs w:val="24"/>
          <w:lang w:val="en-GB"/>
        </w:rPr>
        <w:t>entities</w:t>
      </w:r>
      <w:r w:rsidRPr="000E6FA4">
        <w:rPr>
          <w:rFonts w:ascii="Times New Roman" w:hAnsi="Times New Roman" w:cs="Times New Roman"/>
          <w:sz w:val="24"/>
          <w:szCs w:val="24"/>
          <w:lang w:val="en-GB"/>
        </w:rPr>
        <w:t xml:space="preserve"> at the request of foreign counterparts, CFT Team members regularly updated the input for the purpose of FATF/RTMG ISIL, Al-Qaeda and Affiliates Financing Update, and participated at workshops organised by the EAG. </w:t>
      </w:r>
    </w:p>
    <w:p w:rsidR="0026065F" w:rsidRPr="000E6FA4" w:rsidRDefault="0026065F" w:rsidP="0026065F">
      <w:pPr>
        <w:spacing w:after="0" w:line="276" w:lineRule="auto"/>
        <w:jc w:val="both"/>
        <w:rPr>
          <w:rFonts w:ascii="Times New Roman" w:hAnsi="Times New Roman" w:cs="Times New Roman"/>
          <w:sz w:val="24"/>
          <w:szCs w:val="24"/>
          <w:lang w:val="en-GB"/>
        </w:rPr>
      </w:pPr>
    </w:p>
    <w:p w:rsidR="006F5379" w:rsidRPr="000E6FA4" w:rsidRDefault="00A06B16" w:rsidP="00D4230D">
      <w:pPr>
        <w:pStyle w:val="Heading3"/>
        <w:rPr>
          <w:lang w:val="en-GB"/>
        </w:rPr>
      </w:pPr>
      <w:bookmarkStart w:id="34" w:name="_Toc179546480"/>
      <w:r w:rsidRPr="000E6FA4">
        <w:rPr>
          <w:bCs/>
          <w:lang w:val="en-GB"/>
        </w:rPr>
        <w:t>STRATEGIC ANALYSIS CONDUCTED BY THE SECTOR FOR ANALYSIS AND PREVENTION OF THE FINANCING OF TERRORISM</w:t>
      </w:r>
      <w:bookmarkEnd w:id="34"/>
      <w:r w:rsidRPr="000E6FA4">
        <w:rPr>
          <w:b w:val="0"/>
          <w:lang w:val="en-GB"/>
        </w:rPr>
        <w:t xml:space="preserve"> </w:t>
      </w:r>
    </w:p>
    <w:p w:rsidR="00617275" w:rsidRDefault="00A06B16" w:rsidP="004611B3">
      <w:pPr>
        <w:jc w:val="both"/>
        <w:rPr>
          <w:rFonts w:ascii="Times New Roman" w:eastAsia="Calibri" w:hAnsi="Times New Roman" w:cs="Times New Roman"/>
          <w:noProof/>
          <w:color w:val="000000"/>
          <w:sz w:val="24"/>
          <w:szCs w:val="24"/>
          <w:lang w:val="en-GB"/>
        </w:rPr>
      </w:pPr>
      <w:r w:rsidRPr="000E6FA4">
        <w:rPr>
          <w:rFonts w:ascii="Times New Roman" w:eastAsia="Calibri" w:hAnsi="Times New Roman" w:cs="Times New Roman"/>
          <w:noProof/>
          <w:color w:val="000000"/>
          <w:sz w:val="24"/>
          <w:szCs w:val="24"/>
          <w:lang w:val="en-GB"/>
        </w:rPr>
        <w:t>For the purpose of analysing and addressing vulnerabilities of certain sectors to ML/TF, the Sector prepared a Strategic Analysis related to the purchase of secondary raw-materials and misuse of this sector for money laundering and for depleting funds from business bank accounts. The analysis was done due to the identified typology that became frequent in 2022. The analysis showed that significant amounts of funds were drained from bank accounts of certain legal entities.</w:t>
      </w:r>
    </w:p>
    <w:p w:rsidR="00646B0F" w:rsidRPr="00646B0F" w:rsidRDefault="00617275" w:rsidP="00646B0F">
      <w:pPr>
        <w:pStyle w:val="Heading3"/>
        <w:jc w:val="both"/>
        <w:rPr>
          <w:bCs/>
          <w:sz w:val="32"/>
          <w:szCs w:val="32"/>
          <w:lang w:val="en-GB"/>
        </w:rPr>
      </w:pPr>
      <w:bookmarkStart w:id="35" w:name="_Toc179546481"/>
      <w:r w:rsidRPr="00646B0F">
        <w:rPr>
          <w:bCs/>
          <w:sz w:val="32"/>
          <w:szCs w:val="32"/>
          <w:lang w:val="en-GB"/>
        </w:rPr>
        <w:lastRenderedPageBreak/>
        <w:t>EFF</w:t>
      </w:r>
      <w:r w:rsidR="00C139A0" w:rsidRPr="00646B0F">
        <w:rPr>
          <w:bCs/>
          <w:sz w:val="32"/>
          <w:szCs w:val="32"/>
          <w:lang w:val="en-GB"/>
        </w:rPr>
        <w:t xml:space="preserve">ECTIVENESS </w:t>
      </w:r>
      <w:r w:rsidRPr="00646B0F">
        <w:rPr>
          <w:bCs/>
          <w:sz w:val="32"/>
          <w:szCs w:val="32"/>
          <w:lang w:val="en-GB"/>
        </w:rPr>
        <w:t>OF THE SECTOR FOR ANALY</w:t>
      </w:r>
      <w:r w:rsidR="00646B0F">
        <w:rPr>
          <w:bCs/>
          <w:sz w:val="32"/>
          <w:szCs w:val="32"/>
          <w:lang w:val="en-GB"/>
        </w:rPr>
        <w:t xml:space="preserve">SIS </w:t>
      </w:r>
      <w:r w:rsidRPr="00646B0F">
        <w:rPr>
          <w:bCs/>
          <w:sz w:val="32"/>
          <w:szCs w:val="32"/>
          <w:lang w:val="en-GB"/>
        </w:rPr>
        <w:t xml:space="preserve">IN </w:t>
      </w:r>
      <w:r w:rsidR="00646B0F" w:rsidRPr="00646B0F">
        <w:rPr>
          <w:bCs/>
          <w:sz w:val="32"/>
          <w:szCs w:val="32"/>
          <w:lang w:val="en-GB"/>
        </w:rPr>
        <w:t>AML</w:t>
      </w:r>
      <w:r w:rsidRPr="00646B0F">
        <w:rPr>
          <w:bCs/>
          <w:sz w:val="32"/>
          <w:szCs w:val="32"/>
          <w:lang w:val="en-GB"/>
        </w:rPr>
        <w:t xml:space="preserve"> SYSTEM</w:t>
      </w:r>
      <w:bookmarkEnd w:id="35"/>
    </w:p>
    <w:p w:rsidR="00646B0F" w:rsidRDefault="00646B0F" w:rsidP="00646B0F">
      <w:pPr>
        <w:pStyle w:val="Heading3"/>
        <w:rPr>
          <w:bCs/>
          <w:lang w:val="en-GB"/>
        </w:rPr>
      </w:pPr>
    </w:p>
    <w:p w:rsidR="00617275" w:rsidRPr="00882988" w:rsidRDefault="00617275" w:rsidP="00882988">
      <w:pPr>
        <w:jc w:val="both"/>
        <w:rPr>
          <w:rFonts w:ascii="Times New Roman" w:eastAsia="Calibri" w:hAnsi="Times New Roman" w:cs="Times New Roman"/>
          <w:noProof/>
          <w:color w:val="000000"/>
          <w:sz w:val="24"/>
          <w:szCs w:val="24"/>
          <w:lang w:val="en-GB"/>
        </w:rPr>
      </w:pPr>
      <w:r w:rsidRPr="00882988">
        <w:rPr>
          <w:rFonts w:ascii="Times New Roman" w:eastAsia="Calibri" w:hAnsi="Times New Roman" w:cs="Times New Roman"/>
          <w:noProof/>
          <w:color w:val="000000"/>
          <w:sz w:val="24"/>
          <w:szCs w:val="24"/>
          <w:lang w:val="en-GB"/>
        </w:rPr>
        <w:t xml:space="preserve">The </w:t>
      </w:r>
      <w:r w:rsidR="00646B0F" w:rsidRPr="00882988">
        <w:rPr>
          <w:rFonts w:ascii="Times New Roman" w:eastAsia="Calibri" w:hAnsi="Times New Roman" w:cs="Times New Roman"/>
          <w:noProof/>
          <w:color w:val="000000"/>
          <w:sz w:val="24"/>
          <w:szCs w:val="24"/>
          <w:lang w:val="en-GB"/>
        </w:rPr>
        <w:t xml:space="preserve">purpose and the essence of AML/CFT Law </w:t>
      </w:r>
      <w:r w:rsidRPr="00882988">
        <w:rPr>
          <w:rFonts w:ascii="Times New Roman" w:eastAsia="Calibri" w:hAnsi="Times New Roman" w:cs="Times New Roman"/>
          <w:noProof/>
          <w:color w:val="000000"/>
          <w:sz w:val="24"/>
          <w:szCs w:val="24"/>
          <w:lang w:val="en-GB"/>
        </w:rPr>
        <w:t>is prevention ie preventing the integration of illegally acquired money into legal cash flows.</w:t>
      </w:r>
    </w:p>
    <w:p w:rsidR="00646B0F" w:rsidRDefault="00646B0F" w:rsidP="00617275">
      <w:pPr>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I</w:t>
      </w:r>
      <w:r w:rsidR="00617275" w:rsidRPr="00617275">
        <w:rPr>
          <w:rFonts w:ascii="Times New Roman" w:eastAsia="Calibri" w:hAnsi="Times New Roman" w:cs="Times New Roman"/>
          <w:noProof/>
          <w:color w:val="000000"/>
          <w:sz w:val="24"/>
          <w:szCs w:val="24"/>
          <w:lang w:val="en-GB"/>
        </w:rPr>
        <w:t xml:space="preserve">n accordance with Article 7 of </w:t>
      </w:r>
      <w:r>
        <w:rPr>
          <w:rFonts w:ascii="Times New Roman" w:eastAsia="Calibri" w:hAnsi="Times New Roman" w:cs="Times New Roman"/>
          <w:noProof/>
          <w:color w:val="000000"/>
          <w:sz w:val="24"/>
          <w:szCs w:val="24"/>
          <w:lang w:val="en-GB"/>
        </w:rPr>
        <w:t xml:space="preserve">AML/CFT </w:t>
      </w:r>
      <w:r w:rsidR="00617275" w:rsidRPr="00617275">
        <w:rPr>
          <w:rFonts w:ascii="Times New Roman" w:eastAsia="Calibri" w:hAnsi="Times New Roman" w:cs="Times New Roman"/>
          <w:noProof/>
          <w:color w:val="000000"/>
          <w:sz w:val="24"/>
          <w:szCs w:val="24"/>
          <w:lang w:val="en-GB"/>
        </w:rPr>
        <w:t>Law</w:t>
      </w:r>
      <w:r>
        <w:rPr>
          <w:rFonts w:ascii="Times New Roman" w:eastAsia="Calibri" w:hAnsi="Times New Roman" w:cs="Times New Roman"/>
          <w:noProof/>
          <w:color w:val="000000"/>
          <w:sz w:val="24"/>
          <w:szCs w:val="24"/>
          <w:lang w:val="en-GB"/>
        </w:rPr>
        <w:t xml:space="preserve"> the obliged entity</w:t>
      </w:r>
      <w:r w:rsidR="00617275" w:rsidRPr="00617275">
        <w:rPr>
          <w:rFonts w:ascii="Times New Roman" w:eastAsia="Calibri" w:hAnsi="Times New Roman" w:cs="Times New Roman"/>
          <w:noProof/>
          <w:color w:val="000000"/>
          <w:sz w:val="24"/>
          <w:szCs w:val="24"/>
          <w:lang w:val="en-GB"/>
        </w:rPr>
        <w:t xml:space="preserve"> is </w:t>
      </w:r>
      <w:r>
        <w:rPr>
          <w:rFonts w:ascii="Times New Roman" w:eastAsia="Calibri" w:hAnsi="Times New Roman" w:cs="Times New Roman"/>
          <w:noProof/>
          <w:color w:val="000000"/>
          <w:sz w:val="24"/>
          <w:szCs w:val="24"/>
          <w:lang w:val="en-GB"/>
        </w:rPr>
        <w:t>required</w:t>
      </w:r>
      <w:r w:rsidR="00617275" w:rsidRPr="00617275">
        <w:rPr>
          <w:rFonts w:ascii="Times New Roman" w:eastAsia="Calibri" w:hAnsi="Times New Roman" w:cs="Times New Roman"/>
          <w:noProof/>
          <w:color w:val="000000"/>
          <w:sz w:val="24"/>
          <w:szCs w:val="24"/>
          <w:lang w:val="en-GB"/>
        </w:rPr>
        <w:t xml:space="preserve"> to refuse the offer to establish a business relationship as well as the execution</w:t>
      </w:r>
      <w:r>
        <w:rPr>
          <w:rFonts w:ascii="Times New Roman" w:eastAsia="Calibri" w:hAnsi="Times New Roman" w:cs="Times New Roman"/>
          <w:noProof/>
          <w:color w:val="000000"/>
          <w:sz w:val="24"/>
          <w:szCs w:val="24"/>
          <w:lang w:val="en-GB"/>
        </w:rPr>
        <w:t xml:space="preserve"> of a </w:t>
      </w:r>
      <w:r w:rsidR="00617275" w:rsidRPr="00617275">
        <w:rPr>
          <w:rFonts w:ascii="Times New Roman" w:eastAsia="Calibri" w:hAnsi="Times New Roman" w:cs="Times New Roman"/>
          <w:noProof/>
          <w:color w:val="000000"/>
          <w:sz w:val="24"/>
          <w:szCs w:val="24"/>
          <w:lang w:val="en-GB"/>
        </w:rPr>
        <w:t xml:space="preserve">transaction, and if the business relationship has already been established, </w:t>
      </w:r>
      <w:r>
        <w:rPr>
          <w:rFonts w:ascii="Times New Roman" w:eastAsia="Calibri" w:hAnsi="Times New Roman" w:cs="Times New Roman"/>
          <w:noProof/>
          <w:color w:val="000000"/>
          <w:sz w:val="24"/>
          <w:szCs w:val="24"/>
          <w:lang w:val="en-GB"/>
        </w:rPr>
        <w:t>it</w:t>
      </w:r>
      <w:r w:rsidR="00617275" w:rsidRPr="00617275">
        <w:rPr>
          <w:rFonts w:ascii="Times New Roman" w:eastAsia="Calibri" w:hAnsi="Times New Roman" w:cs="Times New Roman"/>
          <w:noProof/>
          <w:color w:val="000000"/>
          <w:sz w:val="24"/>
          <w:szCs w:val="24"/>
          <w:lang w:val="en-GB"/>
        </w:rPr>
        <w:t xml:space="preserve"> is obliged to terminate it if </w:t>
      </w:r>
      <w:r>
        <w:rPr>
          <w:rFonts w:ascii="Times New Roman" w:eastAsia="Calibri" w:hAnsi="Times New Roman" w:cs="Times New Roman"/>
          <w:noProof/>
          <w:color w:val="000000"/>
          <w:sz w:val="24"/>
          <w:szCs w:val="24"/>
          <w:lang w:val="en-GB"/>
        </w:rPr>
        <w:t xml:space="preserve">it cannot </w:t>
      </w:r>
      <w:r w:rsidR="00617275" w:rsidRPr="00617275">
        <w:rPr>
          <w:rFonts w:ascii="Times New Roman" w:eastAsia="Calibri" w:hAnsi="Times New Roman" w:cs="Times New Roman"/>
          <w:noProof/>
          <w:color w:val="000000"/>
          <w:sz w:val="24"/>
          <w:szCs w:val="24"/>
          <w:lang w:val="en-GB"/>
        </w:rPr>
        <w:t xml:space="preserve">perform certain actions and measures prescribed by </w:t>
      </w:r>
      <w:r>
        <w:rPr>
          <w:rFonts w:ascii="Times New Roman" w:eastAsia="Calibri" w:hAnsi="Times New Roman" w:cs="Times New Roman"/>
          <w:noProof/>
          <w:color w:val="000000"/>
          <w:sz w:val="24"/>
          <w:szCs w:val="24"/>
          <w:lang w:val="en-GB"/>
        </w:rPr>
        <w:t>AML/CFT Law.</w:t>
      </w:r>
    </w:p>
    <w:p w:rsidR="00617275" w:rsidRPr="00617275" w:rsidRDefault="00646B0F" w:rsidP="00617275">
      <w:pPr>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A</w:t>
      </w:r>
      <w:r w:rsidR="00617275" w:rsidRPr="00617275">
        <w:rPr>
          <w:rFonts w:ascii="Times New Roman" w:eastAsia="Calibri" w:hAnsi="Times New Roman" w:cs="Times New Roman"/>
          <w:noProof/>
          <w:color w:val="000000"/>
          <w:sz w:val="24"/>
          <w:szCs w:val="24"/>
          <w:lang w:val="en-GB"/>
        </w:rPr>
        <w:t xml:space="preserve">fter </w:t>
      </w:r>
      <w:r w:rsidR="003F4125">
        <w:rPr>
          <w:rFonts w:ascii="Times New Roman" w:eastAsia="Calibri" w:hAnsi="Times New Roman" w:cs="Times New Roman"/>
          <w:noProof/>
          <w:color w:val="000000"/>
          <w:sz w:val="24"/>
          <w:szCs w:val="24"/>
          <w:lang w:val="en-GB"/>
        </w:rPr>
        <w:t xml:space="preserve">annual meetings with obliged entities </w:t>
      </w:r>
      <w:r w:rsidR="00617275" w:rsidRPr="00617275">
        <w:rPr>
          <w:rFonts w:ascii="Times New Roman" w:eastAsia="Calibri" w:hAnsi="Times New Roman" w:cs="Times New Roman"/>
          <w:noProof/>
          <w:color w:val="000000"/>
          <w:sz w:val="24"/>
          <w:szCs w:val="24"/>
          <w:lang w:val="en-GB"/>
        </w:rPr>
        <w:t xml:space="preserve">(specifically, </w:t>
      </w:r>
      <w:r w:rsidR="003F4125">
        <w:rPr>
          <w:rFonts w:ascii="Times New Roman" w:eastAsia="Calibri" w:hAnsi="Times New Roman" w:cs="Times New Roman"/>
          <w:noProof/>
          <w:color w:val="000000"/>
          <w:sz w:val="24"/>
          <w:szCs w:val="24"/>
          <w:lang w:val="en-GB"/>
        </w:rPr>
        <w:t>with banking sector)</w:t>
      </w:r>
      <w:r w:rsidR="003F4125" w:rsidRPr="003F4125">
        <w:rPr>
          <w:rFonts w:ascii="Times New Roman" w:eastAsia="Calibri" w:hAnsi="Times New Roman" w:cs="Times New Roman"/>
          <w:noProof/>
          <w:color w:val="000000"/>
          <w:sz w:val="24"/>
          <w:szCs w:val="24"/>
          <w:lang w:val="en-GB"/>
        </w:rPr>
        <w:t xml:space="preserve"> </w:t>
      </w:r>
      <w:r w:rsidR="003F4125">
        <w:rPr>
          <w:rFonts w:ascii="Times New Roman" w:eastAsia="Calibri" w:hAnsi="Times New Roman" w:cs="Times New Roman"/>
          <w:noProof/>
          <w:color w:val="000000"/>
          <w:sz w:val="24"/>
          <w:szCs w:val="24"/>
          <w:lang w:val="en-GB"/>
        </w:rPr>
        <w:t xml:space="preserve">were held, </w:t>
      </w:r>
      <w:r w:rsidR="00617275" w:rsidRPr="00617275">
        <w:rPr>
          <w:rFonts w:ascii="Times New Roman" w:eastAsia="Calibri" w:hAnsi="Times New Roman" w:cs="Times New Roman"/>
          <w:noProof/>
          <w:color w:val="000000"/>
          <w:sz w:val="24"/>
          <w:szCs w:val="24"/>
          <w:lang w:val="en-GB"/>
        </w:rPr>
        <w:t>where current typolo</w:t>
      </w:r>
      <w:r w:rsidR="00D86D0E">
        <w:rPr>
          <w:rFonts w:ascii="Times New Roman" w:eastAsia="Calibri" w:hAnsi="Times New Roman" w:cs="Times New Roman"/>
          <w:noProof/>
          <w:color w:val="000000"/>
          <w:sz w:val="24"/>
          <w:szCs w:val="24"/>
          <w:lang w:val="en-GB"/>
        </w:rPr>
        <w:t xml:space="preserve">gies and trends were discussed </w:t>
      </w:r>
      <w:r w:rsidR="00617275" w:rsidRPr="00617275">
        <w:rPr>
          <w:rFonts w:ascii="Times New Roman" w:eastAsia="Calibri" w:hAnsi="Times New Roman" w:cs="Times New Roman"/>
          <w:noProof/>
          <w:color w:val="000000"/>
          <w:sz w:val="24"/>
          <w:szCs w:val="24"/>
          <w:lang w:val="en-GB"/>
        </w:rPr>
        <w:t xml:space="preserve">as well as </w:t>
      </w:r>
      <w:r w:rsidR="003F4125">
        <w:rPr>
          <w:rFonts w:ascii="Times New Roman" w:eastAsia="Calibri" w:hAnsi="Times New Roman" w:cs="Times New Roman"/>
          <w:noProof/>
          <w:color w:val="000000"/>
          <w:sz w:val="24"/>
          <w:szCs w:val="24"/>
          <w:lang w:val="en-GB"/>
        </w:rPr>
        <w:t>the</w:t>
      </w:r>
      <w:r w:rsidR="00617275" w:rsidRPr="00617275">
        <w:rPr>
          <w:rFonts w:ascii="Times New Roman" w:eastAsia="Calibri" w:hAnsi="Times New Roman" w:cs="Times New Roman"/>
          <w:noProof/>
          <w:color w:val="000000"/>
          <w:sz w:val="24"/>
          <w:szCs w:val="24"/>
          <w:lang w:val="en-GB"/>
        </w:rPr>
        <w:t xml:space="preserve"> feedback </w:t>
      </w:r>
      <w:r w:rsidR="003F4125">
        <w:rPr>
          <w:rFonts w:ascii="Times New Roman" w:eastAsia="Calibri" w:hAnsi="Times New Roman" w:cs="Times New Roman"/>
          <w:noProof/>
          <w:color w:val="000000"/>
          <w:sz w:val="24"/>
          <w:szCs w:val="24"/>
          <w:lang w:val="en-GB"/>
        </w:rPr>
        <w:t>on</w:t>
      </w:r>
      <w:r w:rsidR="00617275" w:rsidRPr="00617275">
        <w:rPr>
          <w:rFonts w:ascii="Times New Roman" w:eastAsia="Calibri" w:hAnsi="Times New Roman" w:cs="Times New Roman"/>
          <w:noProof/>
          <w:color w:val="000000"/>
          <w:sz w:val="24"/>
          <w:szCs w:val="24"/>
          <w:lang w:val="en-GB"/>
        </w:rPr>
        <w:t xml:space="preserve"> reported suspicious activities, </w:t>
      </w:r>
      <w:r w:rsidR="003F4125">
        <w:rPr>
          <w:rFonts w:ascii="Times New Roman" w:eastAsia="Calibri" w:hAnsi="Times New Roman" w:cs="Times New Roman"/>
          <w:noProof/>
          <w:color w:val="000000"/>
          <w:sz w:val="24"/>
          <w:szCs w:val="24"/>
          <w:lang w:val="en-GB"/>
        </w:rPr>
        <w:t>obliged entities</w:t>
      </w:r>
      <w:r w:rsidR="00617275" w:rsidRPr="00617275">
        <w:rPr>
          <w:rFonts w:ascii="Times New Roman" w:eastAsia="Calibri" w:hAnsi="Times New Roman" w:cs="Times New Roman"/>
          <w:noProof/>
          <w:color w:val="000000"/>
          <w:sz w:val="24"/>
          <w:szCs w:val="24"/>
          <w:lang w:val="en-GB"/>
        </w:rPr>
        <w:t xml:space="preserve"> terminated business cooperation with a large number of their clients, </w:t>
      </w:r>
      <w:r w:rsidR="003F4125">
        <w:rPr>
          <w:rFonts w:ascii="Times New Roman" w:eastAsia="Calibri" w:hAnsi="Times New Roman" w:cs="Times New Roman"/>
          <w:noProof/>
          <w:color w:val="000000"/>
          <w:sz w:val="24"/>
          <w:szCs w:val="24"/>
          <w:lang w:val="en-GB"/>
        </w:rPr>
        <w:t xml:space="preserve">due to suspicion of the credibility of </w:t>
      </w:r>
      <w:r w:rsidR="00617275" w:rsidRPr="00617275">
        <w:rPr>
          <w:rFonts w:ascii="Times New Roman" w:eastAsia="Calibri" w:hAnsi="Times New Roman" w:cs="Times New Roman"/>
          <w:noProof/>
          <w:color w:val="000000"/>
          <w:sz w:val="24"/>
          <w:szCs w:val="24"/>
          <w:lang w:val="en-GB"/>
        </w:rPr>
        <w:t xml:space="preserve">information </w:t>
      </w:r>
      <w:r w:rsidR="003F4125">
        <w:rPr>
          <w:rFonts w:ascii="Times New Roman" w:eastAsia="Calibri" w:hAnsi="Times New Roman" w:cs="Times New Roman"/>
          <w:noProof/>
          <w:color w:val="000000"/>
          <w:sz w:val="24"/>
          <w:szCs w:val="24"/>
          <w:lang w:val="en-GB"/>
        </w:rPr>
        <w:t>on</w:t>
      </w:r>
      <w:r w:rsidR="00617275" w:rsidRPr="00617275">
        <w:rPr>
          <w:rFonts w:ascii="Times New Roman" w:eastAsia="Calibri" w:hAnsi="Times New Roman" w:cs="Times New Roman"/>
          <w:noProof/>
          <w:color w:val="000000"/>
          <w:sz w:val="24"/>
          <w:szCs w:val="24"/>
          <w:lang w:val="en-GB"/>
        </w:rPr>
        <w:t xml:space="preserve"> the origin of </w:t>
      </w:r>
      <w:r w:rsidR="003F4125">
        <w:rPr>
          <w:rFonts w:ascii="Times New Roman" w:eastAsia="Calibri" w:hAnsi="Times New Roman" w:cs="Times New Roman"/>
          <w:noProof/>
          <w:color w:val="000000"/>
          <w:sz w:val="24"/>
          <w:szCs w:val="24"/>
          <w:lang w:val="en-GB"/>
        </w:rPr>
        <w:t xml:space="preserve">assets owned. </w:t>
      </w:r>
      <w:r w:rsidR="00617275" w:rsidRPr="00617275">
        <w:rPr>
          <w:rFonts w:ascii="Times New Roman" w:eastAsia="Calibri" w:hAnsi="Times New Roman" w:cs="Times New Roman"/>
          <w:noProof/>
          <w:color w:val="000000"/>
          <w:sz w:val="24"/>
          <w:szCs w:val="24"/>
          <w:lang w:val="en-GB"/>
        </w:rPr>
        <w:t xml:space="preserve"> </w:t>
      </w:r>
      <w:r w:rsidR="003F4125">
        <w:rPr>
          <w:rFonts w:ascii="Times New Roman" w:eastAsia="Calibri" w:hAnsi="Times New Roman" w:cs="Times New Roman"/>
          <w:noProof/>
          <w:color w:val="000000"/>
          <w:sz w:val="24"/>
          <w:szCs w:val="24"/>
          <w:lang w:val="en-GB"/>
        </w:rPr>
        <w:t xml:space="preserve">This specifically referred to persons found to have been involved in </w:t>
      </w:r>
      <w:r w:rsidR="00617275" w:rsidRPr="00617275">
        <w:rPr>
          <w:rFonts w:ascii="Times New Roman" w:eastAsia="Calibri" w:hAnsi="Times New Roman" w:cs="Times New Roman"/>
          <w:noProof/>
          <w:color w:val="000000"/>
          <w:sz w:val="24"/>
          <w:szCs w:val="24"/>
          <w:lang w:val="en-GB"/>
        </w:rPr>
        <w:t xml:space="preserve">activities that </w:t>
      </w:r>
      <w:r w:rsidR="003F4125">
        <w:rPr>
          <w:rFonts w:ascii="Times New Roman" w:eastAsia="Calibri" w:hAnsi="Times New Roman" w:cs="Times New Roman"/>
          <w:noProof/>
          <w:color w:val="000000"/>
          <w:sz w:val="24"/>
          <w:szCs w:val="24"/>
          <w:lang w:val="en-GB"/>
        </w:rPr>
        <w:t>raise</w:t>
      </w:r>
      <w:r w:rsidR="00D92C90">
        <w:rPr>
          <w:rFonts w:ascii="Times New Roman" w:eastAsia="Calibri" w:hAnsi="Times New Roman" w:cs="Times New Roman"/>
          <w:noProof/>
          <w:color w:val="000000"/>
          <w:sz w:val="24"/>
          <w:szCs w:val="24"/>
          <w:lang w:val="en-GB"/>
        </w:rPr>
        <w:t>d</w:t>
      </w:r>
      <w:r w:rsidR="003F4125">
        <w:rPr>
          <w:rFonts w:ascii="Times New Roman" w:eastAsia="Calibri" w:hAnsi="Times New Roman" w:cs="Times New Roman"/>
          <w:noProof/>
          <w:color w:val="000000"/>
          <w:sz w:val="24"/>
          <w:szCs w:val="24"/>
          <w:lang w:val="en-GB"/>
        </w:rPr>
        <w:t xml:space="preserve"> suspicion of fictitious business activities</w:t>
      </w:r>
      <w:r w:rsidR="00617275" w:rsidRPr="00617275">
        <w:rPr>
          <w:rFonts w:ascii="Times New Roman" w:eastAsia="Calibri" w:hAnsi="Times New Roman" w:cs="Times New Roman"/>
          <w:noProof/>
          <w:color w:val="000000"/>
          <w:sz w:val="24"/>
          <w:szCs w:val="24"/>
          <w:lang w:val="en-GB"/>
        </w:rPr>
        <w:t xml:space="preserve">, </w:t>
      </w:r>
      <w:r w:rsidR="003F4125">
        <w:rPr>
          <w:rFonts w:ascii="Times New Roman" w:eastAsia="Calibri" w:hAnsi="Times New Roman" w:cs="Times New Roman"/>
          <w:noProof/>
          <w:color w:val="000000"/>
          <w:sz w:val="24"/>
          <w:szCs w:val="24"/>
          <w:lang w:val="en-GB"/>
        </w:rPr>
        <w:t xml:space="preserve">depletion of </w:t>
      </w:r>
      <w:r w:rsidR="00617275" w:rsidRPr="00617275">
        <w:rPr>
          <w:rFonts w:ascii="Times New Roman" w:eastAsia="Calibri" w:hAnsi="Times New Roman" w:cs="Times New Roman"/>
          <w:noProof/>
          <w:color w:val="000000"/>
          <w:sz w:val="24"/>
          <w:szCs w:val="24"/>
          <w:lang w:val="en-GB"/>
        </w:rPr>
        <w:t>account</w:t>
      </w:r>
      <w:r w:rsidR="003F4125">
        <w:rPr>
          <w:rFonts w:ascii="Times New Roman" w:eastAsia="Calibri" w:hAnsi="Times New Roman" w:cs="Times New Roman"/>
          <w:noProof/>
          <w:color w:val="000000"/>
          <w:sz w:val="24"/>
          <w:szCs w:val="24"/>
          <w:lang w:val="en-GB"/>
        </w:rPr>
        <w:t>s</w:t>
      </w:r>
      <w:r w:rsidR="00617275" w:rsidRPr="00617275">
        <w:rPr>
          <w:rFonts w:ascii="Times New Roman" w:eastAsia="Calibri" w:hAnsi="Times New Roman" w:cs="Times New Roman"/>
          <w:noProof/>
          <w:color w:val="000000"/>
          <w:sz w:val="24"/>
          <w:szCs w:val="24"/>
          <w:lang w:val="en-GB"/>
        </w:rPr>
        <w:t xml:space="preserve"> on various grounds, as well as misuse of </w:t>
      </w:r>
      <w:r w:rsidR="003F4125">
        <w:rPr>
          <w:rFonts w:ascii="Times New Roman" w:eastAsia="Calibri" w:hAnsi="Times New Roman" w:cs="Times New Roman"/>
          <w:noProof/>
          <w:color w:val="000000"/>
          <w:sz w:val="24"/>
          <w:szCs w:val="24"/>
          <w:lang w:val="en-GB"/>
        </w:rPr>
        <w:t xml:space="preserve">the purchase of </w:t>
      </w:r>
      <w:r w:rsidR="00617275" w:rsidRPr="00617275">
        <w:rPr>
          <w:rFonts w:ascii="Times New Roman" w:eastAsia="Calibri" w:hAnsi="Times New Roman" w:cs="Times New Roman"/>
          <w:noProof/>
          <w:color w:val="000000"/>
          <w:sz w:val="24"/>
          <w:szCs w:val="24"/>
          <w:lang w:val="en-GB"/>
        </w:rPr>
        <w:t xml:space="preserve"> secondary raw materials in order to conceal the real</w:t>
      </w:r>
      <w:r w:rsidR="00B36979">
        <w:rPr>
          <w:rFonts w:ascii="Times New Roman" w:eastAsia="Calibri" w:hAnsi="Times New Roman" w:cs="Times New Roman"/>
          <w:noProof/>
          <w:color w:val="000000"/>
          <w:sz w:val="24"/>
          <w:szCs w:val="24"/>
          <w:lang w:val="en-GB"/>
        </w:rPr>
        <w:t xml:space="preserve"> origin of funds.</w:t>
      </w:r>
    </w:p>
    <w:p w:rsidR="00617275" w:rsidRPr="00617275" w:rsidRDefault="00617275" w:rsidP="00617275">
      <w:pPr>
        <w:jc w:val="both"/>
        <w:rPr>
          <w:rFonts w:ascii="Times New Roman" w:eastAsia="Calibri" w:hAnsi="Times New Roman" w:cs="Times New Roman"/>
          <w:noProof/>
          <w:color w:val="000000"/>
          <w:sz w:val="24"/>
          <w:szCs w:val="24"/>
          <w:lang w:val="en-GB"/>
        </w:rPr>
      </w:pPr>
      <w:r w:rsidRPr="00617275">
        <w:rPr>
          <w:rFonts w:ascii="Times New Roman" w:eastAsia="Calibri" w:hAnsi="Times New Roman" w:cs="Times New Roman"/>
          <w:noProof/>
          <w:color w:val="000000"/>
          <w:sz w:val="24"/>
          <w:szCs w:val="24"/>
          <w:lang w:val="en-GB"/>
        </w:rPr>
        <w:t xml:space="preserve">It is important to note that the preventive and proactive actions of </w:t>
      </w:r>
      <w:r w:rsidR="002F4A70">
        <w:rPr>
          <w:rFonts w:ascii="Times New Roman" w:eastAsia="Calibri" w:hAnsi="Times New Roman" w:cs="Times New Roman"/>
          <w:noProof/>
          <w:color w:val="000000"/>
          <w:sz w:val="24"/>
          <w:szCs w:val="24"/>
          <w:lang w:val="en-GB"/>
        </w:rPr>
        <w:t>obliged entities</w:t>
      </w:r>
      <w:r w:rsidRPr="00617275">
        <w:rPr>
          <w:rFonts w:ascii="Times New Roman" w:eastAsia="Calibri" w:hAnsi="Times New Roman" w:cs="Times New Roman"/>
          <w:noProof/>
          <w:color w:val="000000"/>
          <w:sz w:val="24"/>
          <w:szCs w:val="24"/>
          <w:lang w:val="en-GB"/>
        </w:rPr>
        <w:t xml:space="preserve">, </w:t>
      </w:r>
      <w:r w:rsidR="002F4A70">
        <w:rPr>
          <w:rFonts w:ascii="Times New Roman" w:eastAsia="Calibri" w:hAnsi="Times New Roman" w:cs="Times New Roman"/>
          <w:noProof/>
          <w:color w:val="000000"/>
          <w:sz w:val="24"/>
          <w:szCs w:val="24"/>
          <w:lang w:val="en-GB"/>
        </w:rPr>
        <w:t>which are taken</w:t>
      </w:r>
      <w:r w:rsidRPr="00617275">
        <w:rPr>
          <w:rFonts w:ascii="Times New Roman" w:eastAsia="Calibri" w:hAnsi="Times New Roman" w:cs="Times New Roman"/>
          <w:noProof/>
          <w:color w:val="000000"/>
          <w:sz w:val="24"/>
          <w:szCs w:val="24"/>
          <w:lang w:val="en-GB"/>
        </w:rPr>
        <w:t xml:space="preserve"> in cooperation with the </w:t>
      </w:r>
      <w:r w:rsidR="002F4A70">
        <w:rPr>
          <w:rFonts w:ascii="Times New Roman" w:eastAsia="Calibri" w:hAnsi="Times New Roman" w:cs="Times New Roman"/>
          <w:noProof/>
          <w:color w:val="000000"/>
          <w:sz w:val="24"/>
          <w:szCs w:val="24"/>
          <w:lang w:val="en-GB"/>
        </w:rPr>
        <w:t>APML, prevent</w:t>
      </w:r>
      <w:r w:rsidRPr="00617275">
        <w:rPr>
          <w:rFonts w:ascii="Times New Roman" w:eastAsia="Calibri" w:hAnsi="Times New Roman" w:cs="Times New Roman"/>
          <w:noProof/>
          <w:color w:val="000000"/>
          <w:sz w:val="24"/>
          <w:szCs w:val="24"/>
          <w:lang w:val="en-GB"/>
        </w:rPr>
        <w:t xml:space="preserve"> the integration of </w:t>
      </w:r>
      <w:r w:rsidR="002F4A70">
        <w:rPr>
          <w:rFonts w:ascii="Times New Roman" w:eastAsia="Calibri" w:hAnsi="Times New Roman" w:cs="Times New Roman"/>
          <w:noProof/>
          <w:color w:val="000000"/>
          <w:sz w:val="24"/>
          <w:szCs w:val="24"/>
          <w:lang w:val="en-GB"/>
        </w:rPr>
        <w:t xml:space="preserve">illicit </w:t>
      </w:r>
      <w:r w:rsidRPr="00617275">
        <w:rPr>
          <w:rFonts w:ascii="Times New Roman" w:eastAsia="Calibri" w:hAnsi="Times New Roman" w:cs="Times New Roman"/>
          <w:noProof/>
          <w:color w:val="000000"/>
          <w:sz w:val="24"/>
          <w:szCs w:val="24"/>
          <w:lang w:val="en-GB"/>
        </w:rPr>
        <w:t>money</w:t>
      </w:r>
      <w:r w:rsidR="002F4A70">
        <w:rPr>
          <w:rFonts w:ascii="Times New Roman" w:eastAsia="Calibri" w:hAnsi="Times New Roman" w:cs="Times New Roman"/>
          <w:noProof/>
          <w:color w:val="000000"/>
          <w:sz w:val="24"/>
          <w:szCs w:val="24"/>
          <w:lang w:val="en-GB"/>
        </w:rPr>
        <w:t xml:space="preserve"> </w:t>
      </w:r>
      <w:r w:rsidRPr="00617275">
        <w:rPr>
          <w:rFonts w:ascii="Times New Roman" w:eastAsia="Calibri" w:hAnsi="Times New Roman" w:cs="Times New Roman"/>
          <w:noProof/>
          <w:color w:val="000000"/>
          <w:sz w:val="24"/>
          <w:szCs w:val="24"/>
          <w:lang w:val="en-GB"/>
        </w:rPr>
        <w:t>in</w:t>
      </w:r>
      <w:r w:rsidR="002F4A70">
        <w:rPr>
          <w:rFonts w:ascii="Times New Roman" w:eastAsia="Calibri" w:hAnsi="Times New Roman" w:cs="Times New Roman"/>
          <w:noProof/>
          <w:color w:val="000000"/>
          <w:sz w:val="24"/>
          <w:szCs w:val="24"/>
          <w:lang w:val="en-GB"/>
        </w:rPr>
        <w:t>to</w:t>
      </w:r>
      <w:r w:rsidRPr="00617275">
        <w:rPr>
          <w:rFonts w:ascii="Times New Roman" w:eastAsia="Calibri" w:hAnsi="Times New Roman" w:cs="Times New Roman"/>
          <w:noProof/>
          <w:color w:val="000000"/>
          <w:sz w:val="24"/>
          <w:szCs w:val="24"/>
          <w:lang w:val="en-GB"/>
        </w:rPr>
        <w:t xml:space="preserve"> legal </w:t>
      </w:r>
      <w:r w:rsidR="002F4A70">
        <w:rPr>
          <w:rFonts w:ascii="Times New Roman" w:eastAsia="Calibri" w:hAnsi="Times New Roman" w:cs="Times New Roman"/>
          <w:noProof/>
          <w:color w:val="000000"/>
          <w:sz w:val="24"/>
          <w:szCs w:val="24"/>
          <w:lang w:val="en-GB"/>
        </w:rPr>
        <w:t>money</w:t>
      </w:r>
      <w:r w:rsidRPr="00617275">
        <w:rPr>
          <w:rFonts w:ascii="Times New Roman" w:eastAsia="Calibri" w:hAnsi="Times New Roman" w:cs="Times New Roman"/>
          <w:noProof/>
          <w:color w:val="000000"/>
          <w:sz w:val="24"/>
          <w:szCs w:val="24"/>
          <w:lang w:val="en-GB"/>
        </w:rPr>
        <w:t xml:space="preserve"> flows. In this way, among other things, the reputational risk </w:t>
      </w:r>
      <w:r w:rsidR="002F4A70">
        <w:rPr>
          <w:rFonts w:ascii="Times New Roman" w:eastAsia="Calibri" w:hAnsi="Times New Roman" w:cs="Times New Roman"/>
          <w:noProof/>
          <w:color w:val="000000"/>
          <w:sz w:val="24"/>
          <w:szCs w:val="24"/>
          <w:lang w:val="en-GB"/>
        </w:rPr>
        <w:t xml:space="preserve">of the obliged entity and the country as whole is reduced. </w:t>
      </w:r>
      <w:r w:rsidRPr="00617275">
        <w:rPr>
          <w:rFonts w:ascii="Times New Roman" w:eastAsia="Calibri" w:hAnsi="Times New Roman" w:cs="Times New Roman"/>
          <w:noProof/>
          <w:color w:val="000000"/>
          <w:sz w:val="24"/>
          <w:szCs w:val="24"/>
          <w:lang w:val="en-GB"/>
        </w:rPr>
        <w:t xml:space="preserve"> </w:t>
      </w:r>
    </w:p>
    <w:p w:rsidR="00617275" w:rsidRPr="00617275" w:rsidRDefault="00617275" w:rsidP="00617275">
      <w:pPr>
        <w:jc w:val="both"/>
        <w:rPr>
          <w:rFonts w:ascii="Times New Roman" w:eastAsia="Calibri" w:hAnsi="Times New Roman" w:cs="Times New Roman"/>
          <w:noProof/>
          <w:color w:val="000000"/>
          <w:sz w:val="24"/>
          <w:szCs w:val="24"/>
          <w:lang w:val="en-GB"/>
        </w:rPr>
      </w:pPr>
      <w:r w:rsidRPr="00617275">
        <w:rPr>
          <w:rFonts w:ascii="Times New Roman" w:eastAsia="Calibri" w:hAnsi="Times New Roman" w:cs="Times New Roman"/>
          <w:noProof/>
          <w:color w:val="000000"/>
          <w:sz w:val="24"/>
          <w:szCs w:val="24"/>
          <w:lang w:val="en-GB"/>
        </w:rPr>
        <w:t xml:space="preserve">In addition to the preventive part of the </w:t>
      </w:r>
      <w:r w:rsidR="002F4A70">
        <w:rPr>
          <w:rFonts w:ascii="Times New Roman" w:eastAsia="Calibri" w:hAnsi="Times New Roman" w:cs="Times New Roman"/>
          <w:noProof/>
          <w:color w:val="000000"/>
          <w:sz w:val="24"/>
          <w:szCs w:val="24"/>
          <w:lang w:val="en-GB"/>
        </w:rPr>
        <w:t>AML</w:t>
      </w:r>
      <w:r w:rsidRPr="00617275">
        <w:rPr>
          <w:rFonts w:ascii="Times New Roman" w:eastAsia="Calibri" w:hAnsi="Times New Roman" w:cs="Times New Roman"/>
          <w:noProof/>
          <w:color w:val="000000"/>
          <w:sz w:val="24"/>
          <w:szCs w:val="24"/>
          <w:lang w:val="en-GB"/>
        </w:rPr>
        <w:t xml:space="preserve"> system, the </w:t>
      </w:r>
      <w:r w:rsidR="002F4A70">
        <w:rPr>
          <w:rFonts w:ascii="Times New Roman" w:eastAsia="Calibri" w:hAnsi="Times New Roman" w:cs="Times New Roman"/>
          <w:noProof/>
          <w:color w:val="000000"/>
          <w:sz w:val="24"/>
          <w:szCs w:val="24"/>
          <w:lang w:val="en-GB"/>
        </w:rPr>
        <w:t>APML</w:t>
      </w:r>
      <w:r w:rsidRPr="00617275">
        <w:rPr>
          <w:rFonts w:ascii="Times New Roman" w:eastAsia="Calibri" w:hAnsi="Times New Roman" w:cs="Times New Roman"/>
          <w:noProof/>
          <w:color w:val="000000"/>
          <w:sz w:val="24"/>
          <w:szCs w:val="24"/>
          <w:lang w:val="en-GB"/>
        </w:rPr>
        <w:t xml:space="preserve"> has a signifi</w:t>
      </w:r>
      <w:r w:rsidR="002F4A70">
        <w:rPr>
          <w:rFonts w:ascii="Times New Roman" w:eastAsia="Calibri" w:hAnsi="Times New Roman" w:cs="Times New Roman"/>
          <w:noProof/>
          <w:color w:val="000000"/>
          <w:sz w:val="24"/>
          <w:szCs w:val="24"/>
          <w:lang w:val="en-GB"/>
        </w:rPr>
        <w:t xml:space="preserve">cant role </w:t>
      </w:r>
      <w:r w:rsidRPr="00617275">
        <w:rPr>
          <w:rFonts w:ascii="Times New Roman" w:eastAsia="Calibri" w:hAnsi="Times New Roman" w:cs="Times New Roman"/>
          <w:noProof/>
          <w:color w:val="000000"/>
          <w:sz w:val="24"/>
          <w:szCs w:val="24"/>
          <w:lang w:val="en-GB"/>
        </w:rPr>
        <w:t xml:space="preserve">in the repressive part of </w:t>
      </w:r>
      <w:r w:rsidR="002F4A70">
        <w:rPr>
          <w:rFonts w:ascii="Times New Roman" w:eastAsia="Calibri" w:hAnsi="Times New Roman" w:cs="Times New Roman"/>
          <w:noProof/>
          <w:color w:val="000000"/>
          <w:sz w:val="24"/>
          <w:szCs w:val="24"/>
          <w:lang w:val="en-GB"/>
        </w:rPr>
        <w:t>the system.</w:t>
      </w:r>
    </w:p>
    <w:p w:rsidR="00617275" w:rsidRPr="00617275" w:rsidRDefault="00617275" w:rsidP="00617275">
      <w:pPr>
        <w:jc w:val="both"/>
        <w:rPr>
          <w:rFonts w:ascii="Times New Roman" w:eastAsia="Calibri" w:hAnsi="Times New Roman" w:cs="Times New Roman"/>
          <w:noProof/>
          <w:color w:val="000000"/>
          <w:sz w:val="24"/>
          <w:szCs w:val="24"/>
          <w:lang w:val="en-GB"/>
        </w:rPr>
      </w:pPr>
      <w:r w:rsidRPr="00617275">
        <w:rPr>
          <w:rFonts w:ascii="Times New Roman" w:eastAsia="Calibri" w:hAnsi="Times New Roman" w:cs="Times New Roman"/>
          <w:noProof/>
          <w:color w:val="000000"/>
          <w:sz w:val="24"/>
          <w:szCs w:val="24"/>
          <w:lang w:val="en-GB"/>
        </w:rPr>
        <w:t>During the year 2022, the employees of the Sector</w:t>
      </w:r>
      <w:r w:rsidR="00247D35">
        <w:rPr>
          <w:rFonts w:ascii="Times New Roman" w:eastAsia="Calibri" w:hAnsi="Times New Roman" w:cs="Times New Roman"/>
          <w:noProof/>
          <w:color w:val="000000"/>
          <w:sz w:val="24"/>
          <w:szCs w:val="24"/>
          <w:lang w:val="en-GB"/>
        </w:rPr>
        <w:t xml:space="preserve"> for Analysis, as members of several task forces </w:t>
      </w:r>
      <w:r w:rsidRPr="00617275">
        <w:rPr>
          <w:rFonts w:ascii="Times New Roman" w:eastAsia="Calibri" w:hAnsi="Times New Roman" w:cs="Times New Roman"/>
          <w:noProof/>
          <w:color w:val="000000"/>
          <w:sz w:val="24"/>
          <w:szCs w:val="24"/>
          <w:lang w:val="en-GB"/>
        </w:rPr>
        <w:t>together with representat</w:t>
      </w:r>
      <w:r w:rsidR="00247D35">
        <w:rPr>
          <w:rFonts w:ascii="Times New Roman" w:eastAsia="Calibri" w:hAnsi="Times New Roman" w:cs="Times New Roman"/>
          <w:noProof/>
          <w:color w:val="000000"/>
          <w:sz w:val="24"/>
          <w:szCs w:val="24"/>
          <w:lang w:val="en-GB"/>
        </w:rPr>
        <w:t xml:space="preserve">ives of repressive state bodies, </w:t>
      </w:r>
      <w:r w:rsidRPr="00617275">
        <w:rPr>
          <w:rFonts w:ascii="Times New Roman" w:eastAsia="Calibri" w:hAnsi="Times New Roman" w:cs="Times New Roman"/>
          <w:noProof/>
          <w:color w:val="000000"/>
          <w:sz w:val="24"/>
          <w:szCs w:val="24"/>
          <w:lang w:val="en-GB"/>
        </w:rPr>
        <w:t xml:space="preserve">actively </w:t>
      </w:r>
      <w:r w:rsidR="00247D35">
        <w:rPr>
          <w:rFonts w:ascii="Times New Roman" w:eastAsia="Calibri" w:hAnsi="Times New Roman" w:cs="Times New Roman"/>
          <w:noProof/>
          <w:color w:val="000000"/>
          <w:sz w:val="24"/>
          <w:szCs w:val="24"/>
          <w:lang w:val="en-GB"/>
        </w:rPr>
        <w:t>worked on several</w:t>
      </w:r>
      <w:r w:rsidRPr="00617275">
        <w:rPr>
          <w:rFonts w:ascii="Times New Roman" w:eastAsia="Calibri" w:hAnsi="Times New Roman" w:cs="Times New Roman"/>
          <w:noProof/>
          <w:color w:val="000000"/>
          <w:sz w:val="24"/>
          <w:szCs w:val="24"/>
          <w:lang w:val="en-GB"/>
        </w:rPr>
        <w:t xml:space="preserve"> cases that resulted in the arres</w:t>
      </w:r>
      <w:r w:rsidR="00247D35">
        <w:rPr>
          <w:rFonts w:ascii="Times New Roman" w:eastAsia="Calibri" w:hAnsi="Times New Roman" w:cs="Times New Roman"/>
          <w:noProof/>
          <w:color w:val="000000"/>
          <w:sz w:val="24"/>
          <w:szCs w:val="24"/>
          <w:lang w:val="en-GB"/>
        </w:rPr>
        <w:t xml:space="preserve">t of a large number of persons suspected of comitting money laundering in adition to other crimes. </w:t>
      </w:r>
    </w:p>
    <w:p w:rsidR="00617275" w:rsidRPr="00617275" w:rsidRDefault="002F13C6" w:rsidP="00617275">
      <w:pPr>
        <w:jc w:val="both"/>
        <w:rPr>
          <w:rFonts w:ascii="Times New Roman" w:eastAsia="Calibri" w:hAnsi="Times New Roman" w:cs="Times New Roman"/>
          <w:noProof/>
          <w:color w:val="000000"/>
          <w:sz w:val="24"/>
          <w:szCs w:val="24"/>
          <w:lang w:val="en-GB"/>
        </w:rPr>
      </w:pPr>
      <w:r>
        <w:rPr>
          <w:rFonts w:ascii="Times New Roman" w:eastAsia="Calibri" w:hAnsi="Times New Roman" w:cs="Times New Roman"/>
          <w:noProof/>
          <w:color w:val="000000"/>
          <w:sz w:val="24"/>
          <w:szCs w:val="24"/>
          <w:lang w:val="en-GB"/>
        </w:rPr>
        <w:t xml:space="preserve">In addition, </w:t>
      </w:r>
      <w:r w:rsidR="00617275" w:rsidRPr="00617275">
        <w:rPr>
          <w:rFonts w:ascii="Times New Roman" w:eastAsia="Calibri" w:hAnsi="Times New Roman" w:cs="Times New Roman"/>
          <w:noProof/>
          <w:color w:val="000000"/>
          <w:sz w:val="24"/>
          <w:szCs w:val="24"/>
          <w:lang w:val="en-GB"/>
        </w:rPr>
        <w:t xml:space="preserve">based on information </w:t>
      </w:r>
      <w:r>
        <w:rPr>
          <w:rFonts w:ascii="Times New Roman" w:eastAsia="Calibri" w:hAnsi="Times New Roman" w:cs="Times New Roman"/>
          <w:noProof/>
          <w:color w:val="000000"/>
          <w:sz w:val="24"/>
          <w:szCs w:val="24"/>
          <w:lang w:val="en-GB"/>
        </w:rPr>
        <w:t>of APML</w:t>
      </w:r>
      <w:r w:rsidR="00617275" w:rsidRPr="00617275">
        <w:rPr>
          <w:rFonts w:ascii="Times New Roman" w:eastAsia="Calibri" w:hAnsi="Times New Roman" w:cs="Times New Roman"/>
          <w:noProof/>
          <w:color w:val="000000"/>
          <w:sz w:val="24"/>
          <w:szCs w:val="24"/>
          <w:lang w:val="en-GB"/>
        </w:rPr>
        <w:t xml:space="preserve">, a </w:t>
      </w:r>
      <w:r>
        <w:rPr>
          <w:rFonts w:ascii="Times New Roman" w:eastAsia="Calibri" w:hAnsi="Times New Roman" w:cs="Times New Roman"/>
          <w:noProof/>
          <w:color w:val="000000"/>
          <w:sz w:val="24"/>
          <w:szCs w:val="24"/>
          <w:lang w:val="en-GB"/>
        </w:rPr>
        <w:t xml:space="preserve">major customs fraud was detected related to the abuse of </w:t>
      </w:r>
      <w:r w:rsidR="002669A6">
        <w:rPr>
          <w:rFonts w:ascii="Times New Roman" w:eastAsia="Calibri" w:hAnsi="Times New Roman" w:cs="Times New Roman"/>
          <w:noProof/>
          <w:color w:val="000000"/>
          <w:sz w:val="24"/>
          <w:szCs w:val="24"/>
          <w:lang w:val="en-GB"/>
        </w:rPr>
        <w:t>stamps</w:t>
      </w:r>
      <w:r>
        <w:rPr>
          <w:rFonts w:ascii="Times New Roman" w:eastAsia="Calibri" w:hAnsi="Times New Roman" w:cs="Times New Roman"/>
          <w:noProof/>
          <w:color w:val="000000"/>
          <w:sz w:val="24"/>
          <w:szCs w:val="24"/>
          <w:lang w:val="en-GB"/>
        </w:rPr>
        <w:t xml:space="preserve"> of </w:t>
      </w:r>
      <w:r w:rsidR="00617275" w:rsidRPr="00617275">
        <w:rPr>
          <w:rFonts w:ascii="Times New Roman" w:eastAsia="Calibri" w:hAnsi="Times New Roman" w:cs="Times New Roman"/>
          <w:noProof/>
          <w:color w:val="000000"/>
          <w:sz w:val="24"/>
          <w:szCs w:val="24"/>
          <w:lang w:val="en-GB"/>
        </w:rPr>
        <w:t xml:space="preserve">certain legal </w:t>
      </w:r>
      <w:r>
        <w:rPr>
          <w:rFonts w:ascii="Times New Roman" w:eastAsia="Calibri" w:hAnsi="Times New Roman" w:cs="Times New Roman"/>
          <w:noProof/>
          <w:color w:val="000000"/>
          <w:sz w:val="24"/>
          <w:szCs w:val="24"/>
          <w:lang w:val="en-GB"/>
        </w:rPr>
        <w:t>persons</w:t>
      </w:r>
      <w:r w:rsidR="00617275" w:rsidRPr="00617275">
        <w:rPr>
          <w:rFonts w:ascii="Times New Roman" w:eastAsia="Calibri" w:hAnsi="Times New Roman" w:cs="Times New Roman"/>
          <w:noProof/>
          <w:color w:val="000000"/>
          <w:sz w:val="24"/>
          <w:szCs w:val="24"/>
          <w:lang w:val="en-GB"/>
        </w:rPr>
        <w:t>,</w:t>
      </w:r>
      <w:r>
        <w:rPr>
          <w:rFonts w:ascii="Times New Roman" w:eastAsia="Calibri" w:hAnsi="Times New Roman" w:cs="Times New Roman"/>
          <w:noProof/>
          <w:color w:val="000000"/>
          <w:sz w:val="24"/>
          <w:szCs w:val="24"/>
          <w:lang w:val="en-GB"/>
        </w:rPr>
        <w:t xml:space="preserve"> for the purpose of disguising the true origin of goods. </w:t>
      </w:r>
      <w:r w:rsidR="00617275" w:rsidRPr="00617275">
        <w:rPr>
          <w:rFonts w:ascii="Times New Roman" w:eastAsia="Calibri" w:hAnsi="Times New Roman" w:cs="Times New Roman"/>
          <w:noProof/>
          <w:color w:val="000000"/>
          <w:sz w:val="24"/>
          <w:szCs w:val="24"/>
          <w:lang w:val="en-GB"/>
        </w:rPr>
        <w:t xml:space="preserve"> Specifically, a specific natural person </w:t>
      </w:r>
      <w:r>
        <w:rPr>
          <w:rFonts w:ascii="Times New Roman" w:eastAsia="Calibri" w:hAnsi="Times New Roman" w:cs="Times New Roman"/>
          <w:noProof/>
          <w:color w:val="000000"/>
          <w:sz w:val="24"/>
          <w:szCs w:val="24"/>
          <w:lang w:val="en-GB"/>
        </w:rPr>
        <w:t>was</w:t>
      </w:r>
      <w:r w:rsidR="00617275" w:rsidRPr="00617275">
        <w:rPr>
          <w:rFonts w:ascii="Times New Roman" w:eastAsia="Calibri" w:hAnsi="Times New Roman" w:cs="Times New Roman"/>
          <w:noProof/>
          <w:color w:val="000000"/>
          <w:sz w:val="24"/>
          <w:szCs w:val="24"/>
          <w:lang w:val="en-GB"/>
        </w:rPr>
        <w:t xml:space="preserve"> identified</w:t>
      </w:r>
      <w:r>
        <w:rPr>
          <w:rFonts w:ascii="Times New Roman" w:eastAsia="Calibri" w:hAnsi="Times New Roman" w:cs="Times New Roman"/>
          <w:noProof/>
          <w:color w:val="000000"/>
          <w:sz w:val="24"/>
          <w:szCs w:val="24"/>
          <w:lang w:val="en-GB"/>
        </w:rPr>
        <w:t xml:space="preserve"> on suspicion of defrauding t</w:t>
      </w:r>
      <w:r w:rsidR="00617275" w:rsidRPr="00617275">
        <w:rPr>
          <w:rFonts w:ascii="Times New Roman" w:eastAsia="Calibri" w:hAnsi="Times New Roman" w:cs="Times New Roman"/>
          <w:noProof/>
          <w:color w:val="000000"/>
          <w:sz w:val="24"/>
          <w:szCs w:val="24"/>
          <w:lang w:val="en-GB"/>
        </w:rPr>
        <w:t xml:space="preserve">he budget of the Republic of Serbia </w:t>
      </w:r>
      <w:r w:rsidR="00A874E6">
        <w:rPr>
          <w:rFonts w:ascii="Times New Roman" w:eastAsia="Calibri" w:hAnsi="Times New Roman" w:cs="Times New Roman"/>
          <w:noProof/>
          <w:color w:val="000000"/>
          <w:sz w:val="24"/>
          <w:szCs w:val="24"/>
          <w:lang w:val="en-GB"/>
        </w:rPr>
        <w:t>out of</w:t>
      </w:r>
      <w:r w:rsidR="00F4329E">
        <w:rPr>
          <w:rFonts w:ascii="Times New Roman" w:eastAsia="Calibri" w:hAnsi="Times New Roman" w:cs="Times New Roman"/>
          <w:noProof/>
          <w:color w:val="000000"/>
          <w:sz w:val="24"/>
          <w:szCs w:val="24"/>
          <w:lang w:val="en-GB"/>
        </w:rPr>
        <w:t xml:space="preserve"> EUR 6.500.000,</w:t>
      </w:r>
      <w:r w:rsidR="00617275" w:rsidRPr="00617275">
        <w:rPr>
          <w:rFonts w:ascii="Times New Roman" w:eastAsia="Calibri" w:hAnsi="Times New Roman" w:cs="Times New Roman"/>
          <w:noProof/>
          <w:color w:val="000000"/>
          <w:sz w:val="24"/>
          <w:szCs w:val="24"/>
          <w:lang w:val="en-GB"/>
        </w:rPr>
        <w:t>00, all for th</w:t>
      </w:r>
      <w:r w:rsidR="00A874E6">
        <w:rPr>
          <w:rFonts w:ascii="Times New Roman" w:eastAsia="Calibri" w:hAnsi="Times New Roman" w:cs="Times New Roman"/>
          <w:noProof/>
          <w:color w:val="000000"/>
          <w:sz w:val="24"/>
          <w:szCs w:val="24"/>
          <w:lang w:val="en-GB"/>
        </w:rPr>
        <w:t xml:space="preserve">e purpose of obtaining personal gain. </w:t>
      </w:r>
    </w:p>
    <w:p w:rsidR="00617275" w:rsidRDefault="00617275" w:rsidP="004611B3">
      <w:pPr>
        <w:jc w:val="both"/>
        <w:rPr>
          <w:rFonts w:ascii="Times New Roman" w:eastAsia="Calibri" w:hAnsi="Times New Roman" w:cs="Times New Roman"/>
          <w:noProof/>
          <w:color w:val="000000"/>
          <w:sz w:val="24"/>
          <w:szCs w:val="24"/>
          <w:lang w:val="en-GB"/>
        </w:rPr>
      </w:pPr>
      <w:r w:rsidRPr="00617275">
        <w:rPr>
          <w:rFonts w:ascii="Times New Roman" w:eastAsia="Calibri" w:hAnsi="Times New Roman" w:cs="Times New Roman"/>
          <w:noProof/>
          <w:color w:val="000000"/>
          <w:sz w:val="24"/>
          <w:szCs w:val="24"/>
          <w:lang w:val="en-GB"/>
        </w:rPr>
        <w:t xml:space="preserve">In support of the good cooperation </w:t>
      </w:r>
      <w:r w:rsidR="00420568">
        <w:rPr>
          <w:rFonts w:ascii="Times New Roman" w:eastAsia="Calibri" w:hAnsi="Times New Roman" w:cs="Times New Roman"/>
          <w:noProof/>
          <w:color w:val="000000"/>
          <w:sz w:val="24"/>
          <w:szCs w:val="24"/>
          <w:lang w:val="en-GB"/>
        </w:rPr>
        <w:t>between</w:t>
      </w:r>
      <w:r w:rsidRPr="00617275">
        <w:rPr>
          <w:rFonts w:ascii="Times New Roman" w:eastAsia="Calibri" w:hAnsi="Times New Roman" w:cs="Times New Roman"/>
          <w:noProof/>
          <w:color w:val="000000"/>
          <w:sz w:val="24"/>
          <w:szCs w:val="24"/>
          <w:lang w:val="en-GB"/>
        </w:rPr>
        <w:t xml:space="preserve"> the </w:t>
      </w:r>
      <w:r w:rsidR="00420568">
        <w:rPr>
          <w:rFonts w:ascii="Times New Roman" w:eastAsia="Calibri" w:hAnsi="Times New Roman" w:cs="Times New Roman"/>
          <w:noProof/>
          <w:color w:val="000000"/>
          <w:sz w:val="24"/>
          <w:szCs w:val="24"/>
          <w:lang w:val="en-GB"/>
        </w:rPr>
        <w:t>APML</w:t>
      </w:r>
      <w:r w:rsidRPr="00617275">
        <w:rPr>
          <w:rFonts w:ascii="Times New Roman" w:eastAsia="Calibri" w:hAnsi="Times New Roman" w:cs="Times New Roman"/>
          <w:noProof/>
          <w:color w:val="000000"/>
          <w:sz w:val="24"/>
          <w:szCs w:val="24"/>
          <w:lang w:val="en-GB"/>
        </w:rPr>
        <w:t xml:space="preserve"> and other state bodies is also the fact that </w:t>
      </w:r>
      <w:r w:rsidR="00420568">
        <w:rPr>
          <w:rFonts w:ascii="Times New Roman" w:eastAsia="Calibri" w:hAnsi="Times New Roman" w:cs="Times New Roman"/>
          <w:noProof/>
          <w:color w:val="000000"/>
          <w:sz w:val="24"/>
          <w:szCs w:val="24"/>
          <w:lang w:val="en-GB"/>
        </w:rPr>
        <w:t>in 2022 Tax Administration identified</w:t>
      </w:r>
      <w:r w:rsidRPr="00617275">
        <w:rPr>
          <w:rFonts w:ascii="Times New Roman" w:eastAsia="Calibri" w:hAnsi="Times New Roman" w:cs="Times New Roman"/>
          <w:noProof/>
          <w:color w:val="000000"/>
          <w:sz w:val="24"/>
          <w:szCs w:val="24"/>
          <w:lang w:val="en-GB"/>
        </w:rPr>
        <w:t xml:space="preserve"> tax irregularities </w:t>
      </w:r>
      <w:r w:rsidR="00420568" w:rsidRPr="00617275">
        <w:rPr>
          <w:rFonts w:ascii="Times New Roman" w:eastAsia="Calibri" w:hAnsi="Times New Roman" w:cs="Times New Roman"/>
          <w:noProof/>
          <w:color w:val="000000"/>
          <w:sz w:val="24"/>
          <w:szCs w:val="24"/>
          <w:lang w:val="en-GB"/>
        </w:rPr>
        <w:t xml:space="preserve">based on information </w:t>
      </w:r>
      <w:r w:rsidR="00420568">
        <w:rPr>
          <w:rFonts w:ascii="Times New Roman" w:eastAsia="Calibri" w:hAnsi="Times New Roman" w:cs="Times New Roman"/>
          <w:noProof/>
          <w:color w:val="000000"/>
          <w:sz w:val="24"/>
          <w:szCs w:val="24"/>
          <w:lang w:val="en-GB"/>
        </w:rPr>
        <w:t>from the APML</w:t>
      </w:r>
      <w:r w:rsidR="00420568" w:rsidRPr="00617275">
        <w:rPr>
          <w:rFonts w:ascii="Times New Roman" w:eastAsia="Calibri" w:hAnsi="Times New Roman" w:cs="Times New Roman"/>
          <w:noProof/>
          <w:color w:val="000000"/>
          <w:sz w:val="24"/>
          <w:szCs w:val="24"/>
          <w:lang w:val="en-GB"/>
        </w:rPr>
        <w:t xml:space="preserve"> </w:t>
      </w:r>
      <w:r w:rsidRPr="00617275">
        <w:rPr>
          <w:rFonts w:ascii="Times New Roman" w:eastAsia="Calibri" w:hAnsi="Times New Roman" w:cs="Times New Roman"/>
          <w:noProof/>
          <w:color w:val="000000"/>
          <w:sz w:val="24"/>
          <w:szCs w:val="24"/>
          <w:lang w:val="en-GB"/>
        </w:rPr>
        <w:t xml:space="preserve">and </w:t>
      </w:r>
      <w:r w:rsidR="00420568">
        <w:rPr>
          <w:rFonts w:ascii="Times New Roman" w:eastAsia="Calibri" w:hAnsi="Times New Roman" w:cs="Times New Roman"/>
          <w:noProof/>
          <w:color w:val="000000"/>
          <w:sz w:val="24"/>
          <w:szCs w:val="24"/>
          <w:lang w:val="en-GB"/>
        </w:rPr>
        <w:t>issued decisions</w:t>
      </w:r>
      <w:r w:rsidR="00D86D0E">
        <w:rPr>
          <w:rFonts w:ascii="Times New Roman" w:eastAsia="Calibri" w:hAnsi="Times New Roman" w:cs="Times New Roman"/>
          <w:noProof/>
          <w:color w:val="000000"/>
          <w:sz w:val="24"/>
          <w:szCs w:val="24"/>
          <w:lang w:val="en-GB"/>
        </w:rPr>
        <w:t xml:space="preserve"> </w:t>
      </w:r>
      <w:r w:rsidR="00A37239">
        <w:rPr>
          <w:rFonts w:ascii="Times New Roman" w:eastAsia="Calibri" w:hAnsi="Times New Roman" w:cs="Times New Roman"/>
          <w:noProof/>
          <w:color w:val="000000"/>
          <w:sz w:val="24"/>
          <w:szCs w:val="24"/>
          <w:lang w:val="en-GB"/>
        </w:rPr>
        <w:t>on</w:t>
      </w:r>
      <w:r w:rsidRPr="00617275">
        <w:rPr>
          <w:rFonts w:ascii="Times New Roman" w:eastAsia="Calibri" w:hAnsi="Times New Roman" w:cs="Times New Roman"/>
          <w:noProof/>
          <w:color w:val="000000"/>
          <w:sz w:val="24"/>
          <w:szCs w:val="24"/>
          <w:lang w:val="en-GB"/>
        </w:rPr>
        <w:t xml:space="preserve"> tax liabili</w:t>
      </w:r>
      <w:r w:rsidR="00420568">
        <w:rPr>
          <w:rFonts w:ascii="Times New Roman" w:eastAsia="Calibri" w:hAnsi="Times New Roman" w:cs="Times New Roman"/>
          <w:noProof/>
          <w:color w:val="000000"/>
          <w:sz w:val="24"/>
          <w:szCs w:val="24"/>
          <w:lang w:val="en-GB"/>
        </w:rPr>
        <w:t>ty in the total amount of RSD 2.019.</w:t>
      </w:r>
      <w:r w:rsidRPr="00617275">
        <w:rPr>
          <w:rFonts w:ascii="Times New Roman" w:eastAsia="Calibri" w:hAnsi="Times New Roman" w:cs="Times New Roman"/>
          <w:noProof/>
          <w:color w:val="000000"/>
          <w:sz w:val="24"/>
          <w:szCs w:val="24"/>
          <w:lang w:val="en-GB"/>
        </w:rPr>
        <w:t>27</w:t>
      </w:r>
      <w:r w:rsidR="00420568">
        <w:rPr>
          <w:rFonts w:ascii="Times New Roman" w:eastAsia="Calibri" w:hAnsi="Times New Roman" w:cs="Times New Roman"/>
          <w:noProof/>
          <w:color w:val="000000"/>
          <w:sz w:val="24"/>
          <w:szCs w:val="24"/>
          <w:lang w:val="en-GB"/>
        </w:rPr>
        <w:t>2265,</w:t>
      </w:r>
      <w:r w:rsidRPr="00617275">
        <w:rPr>
          <w:rFonts w:ascii="Times New Roman" w:eastAsia="Calibri" w:hAnsi="Times New Roman" w:cs="Times New Roman"/>
          <w:noProof/>
          <w:color w:val="000000"/>
          <w:sz w:val="24"/>
          <w:szCs w:val="24"/>
          <w:lang w:val="en-GB"/>
        </w:rPr>
        <w:t>34 (a</w:t>
      </w:r>
      <w:r w:rsidR="00420568">
        <w:rPr>
          <w:rFonts w:ascii="Times New Roman" w:eastAsia="Calibri" w:hAnsi="Times New Roman" w:cs="Times New Roman"/>
          <w:noProof/>
          <w:color w:val="000000"/>
          <w:sz w:val="24"/>
          <w:szCs w:val="24"/>
          <w:lang w:val="en-GB"/>
        </w:rPr>
        <w:t>pproximately EUR 16.827.270,</w:t>
      </w:r>
      <w:r w:rsidRPr="00617275">
        <w:rPr>
          <w:rFonts w:ascii="Times New Roman" w:eastAsia="Calibri" w:hAnsi="Times New Roman" w:cs="Times New Roman"/>
          <w:noProof/>
          <w:color w:val="000000"/>
          <w:sz w:val="24"/>
          <w:szCs w:val="24"/>
          <w:lang w:val="en-GB"/>
        </w:rPr>
        <w:t>00)</w:t>
      </w:r>
    </w:p>
    <w:p w:rsidR="00A06B16" w:rsidRPr="000E6FA4" w:rsidRDefault="005145B3" w:rsidP="00D4230D">
      <w:pPr>
        <w:pStyle w:val="Heading1"/>
        <w:rPr>
          <w:lang w:val="en-GB"/>
        </w:rPr>
      </w:pPr>
      <w:bookmarkStart w:id="36" w:name="_Toc179546482"/>
      <w:r w:rsidRPr="000E6FA4">
        <w:rPr>
          <w:bCs/>
          <w:lang w:val="en-GB"/>
        </w:rPr>
        <w:t>SUPERVISION OF COMPLIANCE WITH AML/CFT LAW</w:t>
      </w:r>
      <w:r w:rsidR="0008665C">
        <w:rPr>
          <w:bCs/>
          <w:lang w:val="en-GB"/>
        </w:rPr>
        <w:t xml:space="preserve"> AND LAF</w:t>
      </w:r>
      <w:r w:rsidRPr="000E6FA4">
        <w:rPr>
          <w:bCs/>
          <w:lang w:val="en-GB"/>
        </w:rPr>
        <w:t xml:space="preserve"> BY ACCOUNTANTS AND FACTORING FIRMS</w:t>
      </w:r>
      <w:bookmarkEnd w:id="36"/>
    </w:p>
    <w:p w:rsidR="00DA38FB" w:rsidRPr="000E6FA4" w:rsidRDefault="00DA38FB" w:rsidP="00DA38FB">
      <w:pPr>
        <w:rPr>
          <w:lang w:val="en-GB"/>
        </w:rPr>
      </w:pPr>
    </w:p>
    <w:p w:rsidR="00241856" w:rsidRPr="000E6FA4" w:rsidRDefault="00241856" w:rsidP="00241856">
      <w:pPr>
        <w:spacing w:line="240" w:lineRule="auto"/>
        <w:jc w:val="both"/>
        <w:rPr>
          <w:rFonts w:ascii="Times New Roman" w:hAnsi="Times New Roman" w:cs="Times New Roman"/>
          <w:noProof/>
          <w:sz w:val="24"/>
          <w:szCs w:val="24"/>
          <w:lang w:val="en-GB"/>
        </w:rPr>
      </w:pPr>
      <w:r w:rsidRPr="000E6FA4">
        <w:rPr>
          <w:rFonts w:ascii="Times New Roman" w:hAnsi="Times New Roman" w:cs="Times New Roman"/>
          <w:noProof/>
          <w:sz w:val="24"/>
          <w:szCs w:val="24"/>
          <w:lang w:val="en-GB"/>
        </w:rPr>
        <w:lastRenderedPageBreak/>
        <w:t xml:space="preserve">Based of Article 104, paragraph 1, item 1 and Articles 105-108 of the AML/CFT Law, the APML in 2022 conducted off-site and on-site examinations of compliance with the AML/CFT Law by sole traders and legal entities engaging in accounting services and by factoring firms (obliged entities). </w:t>
      </w:r>
    </w:p>
    <w:p w:rsidR="00415D39" w:rsidRPr="000E6FA4" w:rsidRDefault="00241856" w:rsidP="005145B3">
      <w:pPr>
        <w:spacing w:line="240" w:lineRule="auto"/>
        <w:jc w:val="both"/>
        <w:rPr>
          <w:rFonts w:ascii="Times New Roman" w:hAnsi="Times New Roman" w:cs="Times New Roman"/>
          <w:noProof/>
          <w:sz w:val="24"/>
          <w:szCs w:val="24"/>
          <w:lang w:val="en-GB"/>
        </w:rPr>
      </w:pPr>
      <w:r w:rsidRPr="000E6FA4">
        <w:rPr>
          <w:rFonts w:ascii="Times New Roman" w:hAnsi="Times New Roman" w:cs="Times New Roman"/>
          <w:noProof/>
          <w:sz w:val="24"/>
          <w:szCs w:val="24"/>
          <w:lang w:val="en-GB"/>
        </w:rPr>
        <w:t xml:space="preserve">The APML also carried out offsite supervision of these obliged entities with respect to their compliance with the </w:t>
      </w:r>
      <w:r w:rsidR="0008665C">
        <w:rPr>
          <w:rFonts w:ascii="Times New Roman" w:hAnsi="Times New Roman" w:cs="Times New Roman"/>
          <w:noProof/>
          <w:sz w:val="24"/>
          <w:szCs w:val="24"/>
          <w:lang w:val="en-GB"/>
        </w:rPr>
        <w:t>LAF</w:t>
      </w:r>
      <w:r w:rsidRPr="000E6FA4">
        <w:rPr>
          <w:rFonts w:ascii="Times New Roman" w:hAnsi="Times New Roman" w:cs="Times New Roman"/>
          <w:noProof/>
          <w:sz w:val="24"/>
          <w:szCs w:val="24"/>
          <w:lang w:val="en-GB"/>
        </w:rPr>
        <w:t>.</w:t>
      </w:r>
    </w:p>
    <w:p w:rsidR="00415D39" w:rsidRPr="000E6FA4" w:rsidRDefault="00BA4BE6" w:rsidP="005145B3">
      <w:pPr>
        <w:spacing w:line="240" w:lineRule="auto"/>
        <w:jc w:val="both"/>
        <w:rPr>
          <w:rFonts w:ascii="Times New Roman" w:hAnsi="Times New Roman" w:cs="Times New Roman"/>
          <w:b/>
          <w:sz w:val="24"/>
          <w:szCs w:val="24"/>
          <w:lang w:val="en-GB"/>
        </w:rPr>
      </w:pPr>
      <w:r>
        <w:rPr>
          <w:rFonts w:ascii="Times New Roman" w:hAnsi="Times New Roman" w:cs="Times New Roman"/>
          <w:noProof/>
          <w:sz w:val="24"/>
          <w:szCs w:val="24"/>
          <w:lang w:val="en-GB"/>
        </w:rPr>
      </w:r>
      <w:r>
        <w:rPr>
          <w:rFonts w:ascii="Times New Roman" w:hAnsi="Times New Roman" w:cs="Times New Roman"/>
          <w:noProof/>
          <w:sz w:val="24"/>
          <w:szCs w:val="24"/>
          <w:lang w:val="en-GB"/>
        </w:rPr>
        <w:pict>
          <v:group id="Canvas 4" o:spid="_x0000_s1044" editas="canvas" style="width:390.05pt;height:304.35pt;mso-position-horizontal-relative:char;mso-position-vertical-relative:line" coordsize="49536,38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49536;height:38646;visibility:visible;mso-wrap-style:square">
              <v:fill o:detectmouseclick="t"/>
              <v:path o:connecttype="none"/>
            </v:shape>
            <v:shape id="Picture 5" o:spid="_x0000_s1045" type="#_x0000_t75" style="position:absolute;left:3143;top:2359;width:46393;height:3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">
              <v:imagedata r:id="rId9" o:title=""/>
            </v:shape>
            <w10:wrap type="none"/>
            <w10:anchorlock/>
          </v:group>
        </w:pict>
      </w:r>
    </w:p>
    <w:p w:rsidR="0008665C" w:rsidRDefault="0008665C" w:rsidP="005145B3">
      <w:pPr>
        <w:spacing w:line="240" w:lineRule="auto"/>
        <w:jc w:val="both"/>
        <w:rPr>
          <w:rFonts w:ascii="Times New Roman" w:hAnsi="Times New Roman" w:cs="Times New Roman"/>
          <w:sz w:val="24"/>
          <w:szCs w:val="24"/>
          <w:lang w:val="en-GB"/>
        </w:rPr>
      </w:pPr>
    </w:p>
    <w:p w:rsidR="00241856" w:rsidRPr="000E6FA4" w:rsidRDefault="00241856" w:rsidP="005145B3">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In addition, from February to September 2022, the APML conducted an analysis of cross-border threats in obliged entities. More specifically, data was requested from obliged entities concerning the registered office of clients with which they were in a business relationship in 2021 (as on 31 December 2021), about the countries where their clients operated in the same period, information concerning the level risk they classified their clients as on 31 December 2020, based on Article 6 of the AML/CFT Law, information concerning client organisation form, and whether the client ownership structures included any trusts in the same period.</w:t>
      </w:r>
    </w:p>
    <w:p w:rsidR="00D01D7F" w:rsidRPr="000E6FA4" w:rsidRDefault="00D01D7F" w:rsidP="00DA38FB">
      <w:pPr>
        <w:pStyle w:val="Heading2"/>
        <w:rPr>
          <w:lang w:val="en-GB"/>
        </w:rPr>
      </w:pPr>
      <w:bookmarkStart w:id="37" w:name="_Toc179546483"/>
      <w:r w:rsidRPr="000E6FA4">
        <w:rPr>
          <w:bCs/>
          <w:lang w:val="en-GB"/>
        </w:rPr>
        <w:t>Offsite supervision</w:t>
      </w:r>
      <w:bookmarkEnd w:id="37"/>
    </w:p>
    <w:p w:rsidR="00241856" w:rsidRPr="000E6FA4" w:rsidRDefault="00241856" w:rsidP="005145B3">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The APML carries out off-site examinations by sending out </w:t>
      </w:r>
      <w:r w:rsidR="008D38EA">
        <w:rPr>
          <w:rFonts w:ascii="Times New Roman" w:hAnsi="Times New Roman" w:cs="Times New Roman"/>
          <w:sz w:val="24"/>
          <w:szCs w:val="24"/>
          <w:lang w:val="en-GB"/>
        </w:rPr>
        <w:t xml:space="preserve">two </w:t>
      </w:r>
      <w:r w:rsidRPr="000E6FA4">
        <w:rPr>
          <w:rFonts w:ascii="Times New Roman" w:hAnsi="Times New Roman" w:cs="Times New Roman"/>
          <w:sz w:val="24"/>
          <w:szCs w:val="24"/>
          <w:lang w:val="en-GB"/>
        </w:rPr>
        <w:t>questionnaires asking supervised entities about their compliance with AML/CFT requirements and questionnaires about compliance with the LAF.</w:t>
      </w:r>
    </w:p>
    <w:p w:rsidR="00C87129" w:rsidRPr="000E6FA4" w:rsidRDefault="00C87129" w:rsidP="005145B3">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The questions in the AML/CFT questionnaire are divided in five sections: general obliged entity information, obliged entity activities, information about obliged entity’s clients, reporting to the APML, and other actions taken by the obliged entity. The questions in the LAF questionnaire are </w:t>
      </w:r>
      <w:r w:rsidRPr="000E6FA4">
        <w:rPr>
          <w:rFonts w:ascii="Times New Roman" w:hAnsi="Times New Roman" w:cs="Times New Roman"/>
          <w:sz w:val="24"/>
          <w:szCs w:val="24"/>
          <w:lang w:val="en-GB"/>
        </w:rPr>
        <w:lastRenderedPageBreak/>
        <w:t xml:space="preserve">divided in two sections - general information on the obliged entity and activities of the obliged entity.  </w:t>
      </w:r>
    </w:p>
    <w:p w:rsidR="00241856" w:rsidRPr="000E6FA4" w:rsidRDefault="00C87129" w:rsidP="005145B3">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In the case of entrepreneurs (sole traders) and legal persons engaging in accounting services, the criteria based on which the APML identifies the obliged entities to which it will send the AML/CFT Questionnaire include the number of employees and net profit of the legal person/entrepreneur. When it comes to factoring companies, the AML/CFT questionnaire was sent out to all registered factoring companies that have available the details in the questionnaire.</w:t>
      </w:r>
    </w:p>
    <w:p w:rsidR="00573D06" w:rsidRPr="000E6FA4" w:rsidRDefault="00573D06" w:rsidP="00573D06">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The total number of entrepreneurs and legal persons providing accounting services in Serbia in 2022 was over 8000.  </w:t>
      </w:r>
    </w:p>
    <w:p w:rsidR="00C87129" w:rsidRPr="000E6FA4" w:rsidRDefault="00573D06" w:rsidP="00573D06">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The offsite AML/CFT examination (structured AML/CFT </w:t>
      </w:r>
      <w:r w:rsidR="008D38EA" w:rsidRPr="000E6FA4">
        <w:rPr>
          <w:rFonts w:ascii="Times New Roman" w:hAnsi="Times New Roman" w:cs="Times New Roman"/>
          <w:sz w:val="24"/>
          <w:szCs w:val="24"/>
          <w:lang w:val="en-GB"/>
        </w:rPr>
        <w:t>questionnaire</w:t>
      </w:r>
      <w:r w:rsidRPr="000E6FA4">
        <w:rPr>
          <w:rFonts w:ascii="Times New Roman" w:hAnsi="Times New Roman" w:cs="Times New Roman"/>
          <w:sz w:val="24"/>
          <w:szCs w:val="24"/>
          <w:lang w:val="en-GB"/>
        </w:rPr>
        <w:t xml:space="preserve"> made using pre-defined criteria) covered in 2022 308 accounting service providers. The questionnaire was responded to by 117 sole traders and 161 legal entities. Examinations of 304 supervised entities were completed in 2022, whereas examinations of 4 supervised entities continued into 2023. Concerning the compliance by these obliged entities with LAF </w:t>
      </w:r>
      <w:r w:rsidR="008D38EA" w:rsidRPr="000E6FA4">
        <w:rPr>
          <w:rFonts w:ascii="Times New Roman" w:hAnsi="Times New Roman" w:cs="Times New Roman"/>
          <w:sz w:val="24"/>
          <w:szCs w:val="24"/>
          <w:lang w:val="en-GB"/>
        </w:rPr>
        <w:t>requirements</w:t>
      </w:r>
      <w:r w:rsidRPr="000E6FA4">
        <w:rPr>
          <w:rFonts w:ascii="Times New Roman" w:hAnsi="Times New Roman" w:cs="Times New Roman"/>
          <w:sz w:val="24"/>
          <w:szCs w:val="24"/>
          <w:lang w:val="en-GB"/>
        </w:rPr>
        <w:t>, offsite examination was finalised for 305 supervised entities, whereas examination of 3 supervised entity continued into 2023.</w:t>
      </w:r>
    </w:p>
    <w:p w:rsidR="005E68FD" w:rsidRPr="000E6FA4" w:rsidRDefault="005E68FD" w:rsidP="00573D06">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In 2022, the APML also conducted and completed offsite examination of 20 auditing companies that also provide accounting services in addition to auditing, including examination of their related parties offering accounting services (10). 30 offsite examinations were carried out with respect to these companies.</w:t>
      </w:r>
    </w:p>
    <w:p w:rsidR="001D19ED" w:rsidRPr="000E6FA4" w:rsidRDefault="00CA1B4D" w:rsidP="00CA1B4D">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The total number of factoring firms in Serbia as at 31 December 2022 was 21. The questionnaires were set out to 16 factoring firms. </w:t>
      </w:r>
    </w:p>
    <w:p w:rsidR="00CA1B4D" w:rsidRPr="000E6FA4" w:rsidRDefault="00CA1B4D" w:rsidP="00CA1B4D">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APML started and completed 16 offsite inspections of these factoring firms in 2022 for AML/CFT and for freezing of assets with the aim of preventing terrorism and PWMD.</w:t>
      </w:r>
    </w:p>
    <w:p w:rsidR="008D38EA" w:rsidRDefault="008D38EA" w:rsidP="00DA38FB">
      <w:pPr>
        <w:pStyle w:val="Heading2"/>
        <w:rPr>
          <w:bCs/>
          <w:lang w:val="en-GB"/>
        </w:rPr>
      </w:pPr>
    </w:p>
    <w:p w:rsidR="00CA1B4D" w:rsidRPr="000E6FA4" w:rsidRDefault="003836A1" w:rsidP="00DA38FB">
      <w:pPr>
        <w:pStyle w:val="Heading2"/>
        <w:rPr>
          <w:lang w:val="en-GB"/>
        </w:rPr>
      </w:pPr>
      <w:bookmarkStart w:id="38" w:name="_Toc179546484"/>
      <w:r w:rsidRPr="000E6FA4">
        <w:rPr>
          <w:bCs/>
          <w:lang w:val="en-GB"/>
        </w:rPr>
        <w:t>Onsite supervision</w:t>
      </w:r>
      <w:bookmarkEnd w:id="38"/>
    </w:p>
    <w:p w:rsidR="00B079D9" w:rsidRPr="000E6FA4" w:rsidRDefault="00B079D9" w:rsidP="00B079D9">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Onsite supervision is conducted by inspecting general and individual acts, records and documentation, as well as business books, extracts from accounts, correspondence and other documents on the premises of the supervised entity or those of the legal entity directly or indirectly related to the supervised entity, by taking statements from the responsible person or other supervised entity’s employees, as well as by requesting information from state authorities and holders of public authority and inspecting documentation.</w:t>
      </w:r>
    </w:p>
    <w:p w:rsidR="00A5325D" w:rsidRPr="000E6FA4" w:rsidRDefault="00B079D9" w:rsidP="00B079D9">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Risk-based approach had been applied in the development of the 2022 Onsite Inspection Plan; this approach means that the obliged entities that are assessed as having a higher ML/TF risk exposure in the performance of their registered business will be prioritised accordingly in the Supervision Plan timetable.</w:t>
      </w:r>
    </w:p>
    <w:p w:rsidR="00B079D9" w:rsidRPr="000E6FA4" w:rsidRDefault="00A5325D" w:rsidP="00B079D9">
      <w:pPr>
        <w:pStyle w:val="NoSpacing"/>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The following elements were used as criteria for assessing the exposure to ML/TF risk: </w:t>
      </w:r>
    </w:p>
    <w:p w:rsidR="00A5325D" w:rsidRPr="000E6FA4" w:rsidRDefault="00B079D9" w:rsidP="00B079D9">
      <w:pPr>
        <w:pStyle w:val="NoSpacing"/>
        <w:numPr>
          <w:ilvl w:val="0"/>
          <w:numId w:val="4"/>
        </w:numPr>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outcomes of the ML/TF NRA; </w:t>
      </w:r>
    </w:p>
    <w:p w:rsidR="00B079D9" w:rsidRPr="000E6FA4" w:rsidRDefault="00B079D9" w:rsidP="00D4230D">
      <w:pPr>
        <w:pStyle w:val="NoSpacing"/>
        <w:numPr>
          <w:ilvl w:val="0"/>
          <w:numId w:val="4"/>
        </w:numPr>
        <w:rPr>
          <w:rFonts w:ascii="Times New Roman" w:hAnsi="Times New Roman" w:cs="Times New Roman"/>
          <w:sz w:val="24"/>
          <w:szCs w:val="24"/>
          <w:lang w:val="en-GB"/>
        </w:rPr>
      </w:pPr>
      <w:r w:rsidRPr="000E6FA4">
        <w:rPr>
          <w:rFonts w:ascii="Times New Roman" w:hAnsi="Times New Roman" w:cs="Times New Roman"/>
          <w:sz w:val="24"/>
          <w:szCs w:val="24"/>
          <w:lang w:val="en-GB"/>
        </w:rPr>
        <w:t>offsite inspection findings - in case that they reveal certain irregularities;</w:t>
      </w:r>
    </w:p>
    <w:p w:rsidR="00A5325D" w:rsidRPr="000E6FA4" w:rsidRDefault="00B079D9" w:rsidP="00D4230D">
      <w:pPr>
        <w:pStyle w:val="NoSpacing"/>
        <w:numPr>
          <w:ilvl w:val="0"/>
          <w:numId w:val="4"/>
        </w:numPr>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number of employees at the obliged entity; </w:t>
      </w:r>
    </w:p>
    <w:p w:rsidR="00A5325D" w:rsidRPr="000E6FA4" w:rsidRDefault="00B079D9" w:rsidP="00B079D9">
      <w:pPr>
        <w:pStyle w:val="NoSpacing"/>
        <w:numPr>
          <w:ilvl w:val="0"/>
          <w:numId w:val="4"/>
        </w:numPr>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obliged entity’s annual income; </w:t>
      </w:r>
    </w:p>
    <w:p w:rsidR="00A5325D" w:rsidRPr="000E6FA4" w:rsidRDefault="00B079D9" w:rsidP="00B079D9">
      <w:pPr>
        <w:pStyle w:val="NoSpacing"/>
        <w:numPr>
          <w:ilvl w:val="0"/>
          <w:numId w:val="4"/>
        </w:numPr>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information the APML received from other state authorities and anonymous persons; </w:t>
      </w:r>
    </w:p>
    <w:p w:rsidR="00A5325D" w:rsidRPr="000E6FA4" w:rsidRDefault="00B079D9" w:rsidP="00B079D9">
      <w:pPr>
        <w:pStyle w:val="NoSpacing"/>
        <w:numPr>
          <w:ilvl w:val="0"/>
          <w:numId w:val="4"/>
        </w:numPr>
        <w:rPr>
          <w:rFonts w:ascii="Times New Roman" w:hAnsi="Times New Roman" w:cs="Times New Roman"/>
          <w:sz w:val="24"/>
          <w:szCs w:val="24"/>
          <w:lang w:val="en-GB"/>
        </w:rPr>
      </w:pPr>
      <w:r w:rsidRPr="000E6FA4">
        <w:rPr>
          <w:rFonts w:ascii="Times New Roman" w:hAnsi="Times New Roman" w:cs="Times New Roman"/>
          <w:sz w:val="24"/>
          <w:szCs w:val="24"/>
          <w:lang w:val="en-GB"/>
        </w:rPr>
        <w:lastRenderedPageBreak/>
        <w:t xml:space="preserve">information obtained from APML’s databases. </w:t>
      </w:r>
    </w:p>
    <w:p w:rsidR="00C1709B" w:rsidRPr="000E6FA4" w:rsidRDefault="00C1709B" w:rsidP="00C1709B">
      <w:pPr>
        <w:spacing w:line="240" w:lineRule="auto"/>
        <w:jc w:val="both"/>
        <w:rPr>
          <w:rFonts w:ascii="Times New Roman" w:hAnsi="Times New Roman" w:cs="Times New Roman"/>
          <w:sz w:val="24"/>
          <w:szCs w:val="24"/>
          <w:lang w:val="en-GB"/>
        </w:rPr>
      </w:pPr>
    </w:p>
    <w:p w:rsidR="0058149A" w:rsidRPr="000E6FA4" w:rsidRDefault="00C1709B" w:rsidP="00C1709B">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In 2022, APML carried out regular onsite examination of 44 obliged entities, including 42 accountants (10 legal entities and 32 sole traders) and 2 factoring firms. In 40 regular onsite examinations of accountants, a total of 357 irregularities were found (as shown in the table below).</w:t>
      </w:r>
    </w:p>
    <w:p w:rsidR="00C1709B" w:rsidRPr="000E6FA4" w:rsidRDefault="00B26D39" w:rsidP="00C1709B">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APML also conducted 9 extraordinary onsite examinations of compliance with the Law on Central Records of Beneficial Owners, including the examinations of 7 legal entities providing accounting services and 2 factoring firms. These extraordinary onsite examinations did not find any irregularities.</w:t>
      </w:r>
    </w:p>
    <w:p w:rsidR="00C1709B" w:rsidRPr="000E6FA4" w:rsidRDefault="00F12599" w:rsidP="00C1709B">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In 2022, a total of 16 economic offence reports were filed against legal </w:t>
      </w:r>
      <w:r w:rsidR="008D38EA" w:rsidRPr="000E6FA4">
        <w:rPr>
          <w:rFonts w:ascii="Times New Roman" w:hAnsi="Times New Roman" w:cs="Times New Roman"/>
          <w:sz w:val="24"/>
          <w:szCs w:val="24"/>
          <w:lang w:val="en-GB"/>
        </w:rPr>
        <w:t>entities</w:t>
      </w:r>
      <w:r w:rsidRPr="000E6FA4">
        <w:rPr>
          <w:rFonts w:ascii="Times New Roman" w:hAnsi="Times New Roman" w:cs="Times New Roman"/>
          <w:sz w:val="24"/>
          <w:szCs w:val="24"/>
          <w:lang w:val="en-GB"/>
        </w:rPr>
        <w:t xml:space="preserve"> engaging in accounting services (9 reports for irregularities found to have been </w:t>
      </w:r>
      <w:r w:rsidR="008D38EA" w:rsidRPr="000E6FA4">
        <w:rPr>
          <w:rFonts w:ascii="Times New Roman" w:hAnsi="Times New Roman" w:cs="Times New Roman"/>
          <w:sz w:val="24"/>
          <w:szCs w:val="24"/>
          <w:lang w:val="en-GB"/>
        </w:rPr>
        <w:t>committed</w:t>
      </w:r>
      <w:r w:rsidRPr="000E6FA4">
        <w:rPr>
          <w:rFonts w:ascii="Times New Roman" w:hAnsi="Times New Roman" w:cs="Times New Roman"/>
          <w:sz w:val="24"/>
          <w:szCs w:val="24"/>
          <w:lang w:val="en-GB"/>
        </w:rPr>
        <w:t xml:space="preserve"> in 2021, and 7 reports for irregularities found for 2022) and 25 requests for misdemeanour proceedings against sole traders engaging in accounting services (2 requests for the irregularities found for 2021 and 23 requests for irregularities in 2022).</w:t>
      </w:r>
    </w:p>
    <w:p w:rsidR="00331300" w:rsidRPr="000E6FA4" w:rsidRDefault="00331300" w:rsidP="00C1709B">
      <w:pPr>
        <w:spacing w:line="240" w:lineRule="auto"/>
        <w:jc w:val="both"/>
        <w:rPr>
          <w:rFonts w:ascii="Times New Roman" w:hAnsi="Times New Roman" w:cs="Times New Roman"/>
          <w:sz w:val="24"/>
          <w:szCs w:val="24"/>
          <w:lang w:val="en-GB"/>
        </w:rPr>
      </w:pPr>
      <w:r w:rsidRPr="000E6FA4">
        <w:rPr>
          <w:rFonts w:ascii="Calibri" w:eastAsia="Calibri" w:hAnsi="Calibri" w:cs="Times New Roman"/>
          <w:noProof/>
        </w:rPr>
        <w:drawing>
          <wp:inline distT="0" distB="0" distL="0" distR="0" wp14:anchorId="510AD07B" wp14:editId="26ECD228">
            <wp:extent cx="5943600" cy="499003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90032"/>
                    </a:xfrm>
                    <a:prstGeom prst="rect">
                      <a:avLst/>
                    </a:prstGeom>
                    <a:noFill/>
                    <a:ln>
                      <a:noFill/>
                    </a:ln>
                  </pic:spPr>
                </pic:pic>
              </a:graphicData>
            </a:graphic>
          </wp:inline>
        </w:drawing>
      </w:r>
    </w:p>
    <w:p w:rsidR="00C1709B" w:rsidRPr="000E6FA4" w:rsidRDefault="0058149A" w:rsidP="00DA38FB">
      <w:pPr>
        <w:pStyle w:val="Heading2"/>
        <w:rPr>
          <w:lang w:val="en-GB"/>
        </w:rPr>
      </w:pPr>
      <w:bookmarkStart w:id="39" w:name="_Toc179546485"/>
      <w:r w:rsidRPr="000E6FA4">
        <w:rPr>
          <w:bCs/>
          <w:lang w:val="en-GB"/>
        </w:rPr>
        <w:lastRenderedPageBreak/>
        <w:t>Court decisions</w:t>
      </w:r>
      <w:bookmarkEnd w:id="39"/>
      <w:r w:rsidRPr="000E6FA4">
        <w:rPr>
          <w:bCs/>
          <w:lang w:val="en-GB"/>
        </w:rPr>
        <w:t xml:space="preserve"> </w:t>
      </w:r>
      <w:r w:rsidRPr="000E6FA4">
        <w:rPr>
          <w:b w:val="0"/>
          <w:lang w:val="en-GB"/>
        </w:rPr>
        <w:tab/>
      </w:r>
    </w:p>
    <w:p w:rsidR="00A4226A" w:rsidRPr="000E6FA4" w:rsidRDefault="0058149A" w:rsidP="008D38EA">
      <w:pPr>
        <w:jc w:val="both"/>
        <w:rPr>
          <w:rFonts w:ascii="Times New Roman" w:hAnsi="Times New Roman"/>
          <w:sz w:val="24"/>
          <w:szCs w:val="24"/>
          <w:lang w:val="en-GB"/>
        </w:rPr>
      </w:pPr>
      <w:r w:rsidRPr="000E6FA4">
        <w:rPr>
          <w:rFonts w:ascii="Times New Roman" w:hAnsi="Times New Roman"/>
          <w:sz w:val="24"/>
          <w:szCs w:val="24"/>
          <w:lang w:val="en-GB"/>
        </w:rPr>
        <w:t xml:space="preserve">In 2022, the APML received feedback about 14 decisions meted by competent courts. </w:t>
      </w:r>
    </w:p>
    <w:p w:rsidR="0058149A" w:rsidRPr="000E6FA4" w:rsidRDefault="0058149A" w:rsidP="008D38EA">
      <w:pPr>
        <w:jc w:val="both"/>
        <w:rPr>
          <w:rFonts w:ascii="Times New Roman" w:hAnsi="Times New Roman" w:cs="Times New Roman"/>
          <w:sz w:val="24"/>
          <w:szCs w:val="24"/>
          <w:lang w:val="en-GB"/>
        </w:rPr>
      </w:pPr>
      <w:r w:rsidRPr="000E6FA4">
        <w:rPr>
          <w:rFonts w:ascii="Times New Roman" w:eastAsia="Calibri" w:hAnsi="Times New Roman" w:cs="Times New Roman"/>
          <w:sz w:val="24"/>
          <w:szCs w:val="24"/>
          <w:lang w:val="en-GB"/>
        </w:rPr>
        <w:t xml:space="preserve">Of the total number of court decisions made, 7 were decisions of commercial courts and 6 of misdemeanour courts imposing fines due to irregularities found in the onsite examination under the AML/CFT Law and one more decision of the misdemeanour court imposing a fine due to irregularities found under the LAF (the table below shows the amounts of fines imposed in the decisions of the commercial and misdemeanour courts). </w:t>
      </w:r>
    </w:p>
    <w:tbl>
      <w:tblPr>
        <w:tblW w:w="0" w:type="auto"/>
        <w:tblBorders>
          <w:top w:val="single" w:sz="2" w:space="0" w:color="8EAADB"/>
          <w:bottom w:val="single" w:sz="2" w:space="0" w:color="8EAADB"/>
          <w:insideH w:val="single" w:sz="2" w:space="0" w:color="8EAADB"/>
          <w:insideV w:val="single" w:sz="2" w:space="0" w:color="8EAADB"/>
        </w:tblBorders>
        <w:tblLook w:val="04A0" w:firstRow="1" w:lastRow="0" w:firstColumn="1" w:lastColumn="0" w:noHBand="0" w:noVBand="1"/>
      </w:tblPr>
      <w:tblGrid>
        <w:gridCol w:w="3119"/>
        <w:gridCol w:w="3123"/>
        <w:gridCol w:w="3118"/>
      </w:tblGrid>
      <w:tr w:rsidR="0058149A" w:rsidRPr="000E6FA4" w:rsidTr="00D4230D">
        <w:trPr>
          <w:trHeight w:val="365"/>
        </w:trPr>
        <w:tc>
          <w:tcPr>
            <w:tcW w:w="3285" w:type="dxa"/>
            <w:tcBorders>
              <w:top w:val="nil"/>
              <w:bottom w:val="single" w:sz="12" w:space="0" w:color="8EAADB"/>
              <w:right w:val="nil"/>
            </w:tcBorders>
            <w:shd w:val="clear" w:color="auto" w:fill="FFFFFF"/>
          </w:tcPr>
          <w:p w:rsidR="0058149A" w:rsidRPr="000E6FA4" w:rsidRDefault="0058149A" w:rsidP="00E45F78">
            <w:pPr>
              <w:tabs>
                <w:tab w:val="left" w:pos="0"/>
              </w:tabs>
              <w:jc w:val="center"/>
              <w:rPr>
                <w:rFonts w:ascii="Times New Roman" w:hAnsi="Times New Roman"/>
                <w:b/>
                <w:bCs/>
                <w:sz w:val="18"/>
                <w:szCs w:val="18"/>
                <w:lang w:val="en-GB"/>
              </w:rPr>
            </w:pPr>
            <w:r w:rsidRPr="000E6FA4">
              <w:rPr>
                <w:rFonts w:ascii="Times New Roman" w:hAnsi="Times New Roman"/>
                <w:b/>
                <w:bCs/>
                <w:sz w:val="18"/>
                <w:szCs w:val="18"/>
                <w:lang w:val="en-GB"/>
              </w:rPr>
              <w:t>Court decisions in procedures instituted against legal entities (AML/CFT Law)</w:t>
            </w:r>
          </w:p>
        </w:tc>
        <w:tc>
          <w:tcPr>
            <w:tcW w:w="3285" w:type="dxa"/>
            <w:tcBorders>
              <w:top w:val="nil"/>
              <w:left w:val="nil"/>
              <w:bottom w:val="single" w:sz="12" w:space="0" w:color="8EAADB"/>
              <w:right w:val="nil"/>
            </w:tcBorders>
            <w:shd w:val="clear" w:color="auto" w:fill="FFFFFF"/>
          </w:tcPr>
          <w:p w:rsidR="0058149A" w:rsidRPr="000E6FA4" w:rsidRDefault="0058149A" w:rsidP="00E45F78">
            <w:pPr>
              <w:tabs>
                <w:tab w:val="left" w:pos="0"/>
              </w:tabs>
              <w:jc w:val="center"/>
              <w:rPr>
                <w:rFonts w:ascii="Times New Roman" w:hAnsi="Times New Roman"/>
                <w:b/>
                <w:bCs/>
                <w:sz w:val="18"/>
                <w:szCs w:val="18"/>
                <w:lang w:val="en-GB"/>
              </w:rPr>
            </w:pPr>
            <w:r w:rsidRPr="000E6FA4">
              <w:rPr>
                <w:rFonts w:ascii="Times New Roman" w:hAnsi="Times New Roman"/>
                <w:b/>
                <w:bCs/>
                <w:sz w:val="18"/>
                <w:szCs w:val="18"/>
                <w:lang w:val="en-GB"/>
              </w:rPr>
              <w:t>Fine imposed on legal entity in RSD</w:t>
            </w:r>
          </w:p>
        </w:tc>
        <w:tc>
          <w:tcPr>
            <w:tcW w:w="3285" w:type="dxa"/>
            <w:tcBorders>
              <w:top w:val="nil"/>
              <w:left w:val="nil"/>
              <w:bottom w:val="single" w:sz="12" w:space="0" w:color="8EAADB"/>
            </w:tcBorders>
            <w:shd w:val="clear" w:color="auto" w:fill="FFFFFF"/>
          </w:tcPr>
          <w:p w:rsidR="0058149A" w:rsidRPr="000E6FA4" w:rsidRDefault="0058149A" w:rsidP="00E45F78">
            <w:pPr>
              <w:tabs>
                <w:tab w:val="left" w:pos="0"/>
              </w:tabs>
              <w:jc w:val="center"/>
              <w:rPr>
                <w:rFonts w:ascii="Times New Roman" w:hAnsi="Times New Roman"/>
                <w:b/>
                <w:bCs/>
                <w:sz w:val="18"/>
                <w:szCs w:val="18"/>
                <w:lang w:val="en-GB"/>
              </w:rPr>
            </w:pPr>
            <w:r w:rsidRPr="000E6FA4">
              <w:rPr>
                <w:rFonts w:ascii="Times New Roman" w:hAnsi="Times New Roman"/>
                <w:b/>
                <w:bCs/>
                <w:sz w:val="18"/>
                <w:szCs w:val="18"/>
                <w:lang w:val="en-GB"/>
              </w:rPr>
              <w:t>Fine imposed on responsible person in the legal entity in RSD</w:t>
            </w:r>
          </w:p>
        </w:tc>
      </w:tr>
      <w:tr w:rsidR="0058149A" w:rsidRPr="000E6FA4" w:rsidTr="00D4230D">
        <w:trPr>
          <w:trHeight w:val="247"/>
        </w:trPr>
        <w:tc>
          <w:tcPr>
            <w:tcW w:w="3285" w:type="dxa"/>
            <w:shd w:val="clear" w:color="auto" w:fill="D9E2F3"/>
          </w:tcPr>
          <w:p w:rsidR="0058149A" w:rsidRPr="000E6FA4" w:rsidRDefault="0058149A" w:rsidP="00D4230D">
            <w:pPr>
              <w:tabs>
                <w:tab w:val="left" w:pos="0"/>
              </w:tabs>
              <w:rPr>
                <w:rFonts w:ascii="Times New Roman" w:hAnsi="Times New Roman"/>
                <w:b/>
                <w:bCs/>
                <w:sz w:val="18"/>
                <w:szCs w:val="18"/>
                <w:lang w:val="en-GB"/>
              </w:rPr>
            </w:pPr>
            <w:r w:rsidRPr="000E6FA4">
              <w:rPr>
                <w:rFonts w:ascii="Times New Roman" w:hAnsi="Times New Roman"/>
                <w:b/>
                <w:bCs/>
                <w:sz w:val="18"/>
                <w:szCs w:val="18"/>
                <w:lang w:val="en-GB"/>
              </w:rPr>
              <w:t>1.</w:t>
            </w:r>
          </w:p>
        </w:tc>
        <w:tc>
          <w:tcPr>
            <w:tcW w:w="3285" w:type="dxa"/>
            <w:shd w:val="clear" w:color="auto" w:fill="D9E2F3"/>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400,000.00</w:t>
            </w:r>
          </w:p>
        </w:tc>
        <w:tc>
          <w:tcPr>
            <w:tcW w:w="3285" w:type="dxa"/>
            <w:shd w:val="clear" w:color="auto" w:fill="D9E2F3"/>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78,000.00</w:t>
            </w:r>
          </w:p>
        </w:tc>
      </w:tr>
      <w:tr w:rsidR="0058149A" w:rsidRPr="000E6FA4" w:rsidTr="00D4230D">
        <w:tc>
          <w:tcPr>
            <w:tcW w:w="3285" w:type="dxa"/>
            <w:shd w:val="clear" w:color="auto" w:fill="auto"/>
          </w:tcPr>
          <w:p w:rsidR="0058149A" w:rsidRPr="000E6FA4" w:rsidRDefault="0058149A" w:rsidP="00D4230D">
            <w:pPr>
              <w:tabs>
                <w:tab w:val="left" w:pos="0"/>
              </w:tabs>
              <w:rPr>
                <w:rFonts w:ascii="Times New Roman" w:hAnsi="Times New Roman"/>
                <w:b/>
                <w:bCs/>
                <w:sz w:val="18"/>
                <w:szCs w:val="18"/>
                <w:lang w:val="en-GB"/>
              </w:rPr>
            </w:pPr>
            <w:r w:rsidRPr="000E6FA4">
              <w:rPr>
                <w:rFonts w:ascii="Times New Roman" w:hAnsi="Times New Roman"/>
                <w:b/>
                <w:bCs/>
                <w:sz w:val="18"/>
                <w:szCs w:val="18"/>
                <w:lang w:val="en-GB"/>
              </w:rPr>
              <w:t>2.</w:t>
            </w:r>
          </w:p>
        </w:tc>
        <w:tc>
          <w:tcPr>
            <w:tcW w:w="3285" w:type="dxa"/>
            <w:shd w:val="clear" w:color="auto" w:fill="auto"/>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420,000.00</w:t>
            </w:r>
          </w:p>
        </w:tc>
        <w:tc>
          <w:tcPr>
            <w:tcW w:w="3285" w:type="dxa"/>
            <w:shd w:val="clear" w:color="auto" w:fill="auto"/>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42,000.00</w:t>
            </w:r>
          </w:p>
        </w:tc>
      </w:tr>
      <w:tr w:rsidR="0058149A" w:rsidRPr="000E6FA4" w:rsidTr="00D4230D">
        <w:tc>
          <w:tcPr>
            <w:tcW w:w="3285" w:type="dxa"/>
            <w:shd w:val="clear" w:color="auto" w:fill="D9E2F3"/>
          </w:tcPr>
          <w:p w:rsidR="0058149A" w:rsidRPr="000E6FA4" w:rsidRDefault="0058149A" w:rsidP="00D4230D">
            <w:pPr>
              <w:tabs>
                <w:tab w:val="left" w:pos="0"/>
              </w:tabs>
              <w:rPr>
                <w:rFonts w:ascii="Times New Roman" w:hAnsi="Times New Roman"/>
                <w:b/>
                <w:bCs/>
                <w:sz w:val="18"/>
                <w:szCs w:val="18"/>
                <w:lang w:val="en-GB"/>
              </w:rPr>
            </w:pPr>
            <w:r w:rsidRPr="000E6FA4">
              <w:rPr>
                <w:rFonts w:ascii="Times New Roman" w:hAnsi="Times New Roman"/>
                <w:b/>
                <w:bCs/>
                <w:sz w:val="18"/>
                <w:szCs w:val="18"/>
                <w:lang w:val="en-GB"/>
              </w:rPr>
              <w:t>3.</w:t>
            </w:r>
          </w:p>
        </w:tc>
        <w:tc>
          <w:tcPr>
            <w:tcW w:w="3285" w:type="dxa"/>
            <w:shd w:val="clear" w:color="auto" w:fill="D9E2F3"/>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300,000.00</w:t>
            </w:r>
          </w:p>
        </w:tc>
        <w:tc>
          <w:tcPr>
            <w:tcW w:w="3285" w:type="dxa"/>
            <w:shd w:val="clear" w:color="auto" w:fill="D9E2F3"/>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60,000.00</w:t>
            </w:r>
          </w:p>
        </w:tc>
      </w:tr>
      <w:tr w:rsidR="0058149A" w:rsidRPr="000E6FA4" w:rsidTr="00D4230D">
        <w:tc>
          <w:tcPr>
            <w:tcW w:w="3285" w:type="dxa"/>
            <w:shd w:val="clear" w:color="auto" w:fill="auto"/>
          </w:tcPr>
          <w:p w:rsidR="0058149A" w:rsidRPr="000E6FA4" w:rsidRDefault="0058149A" w:rsidP="00D4230D">
            <w:pPr>
              <w:tabs>
                <w:tab w:val="left" w:pos="0"/>
              </w:tabs>
              <w:rPr>
                <w:rFonts w:ascii="Times New Roman" w:hAnsi="Times New Roman"/>
                <w:b/>
                <w:bCs/>
                <w:sz w:val="18"/>
                <w:szCs w:val="18"/>
                <w:lang w:val="en-GB"/>
              </w:rPr>
            </w:pPr>
            <w:r w:rsidRPr="000E6FA4">
              <w:rPr>
                <w:rFonts w:ascii="Times New Roman" w:hAnsi="Times New Roman"/>
                <w:b/>
                <w:bCs/>
                <w:sz w:val="18"/>
                <w:szCs w:val="18"/>
                <w:lang w:val="en-GB"/>
              </w:rPr>
              <w:t>4.</w:t>
            </w:r>
          </w:p>
        </w:tc>
        <w:tc>
          <w:tcPr>
            <w:tcW w:w="3285" w:type="dxa"/>
            <w:shd w:val="clear" w:color="auto" w:fill="auto"/>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477,000.00</w:t>
            </w:r>
          </w:p>
        </w:tc>
        <w:tc>
          <w:tcPr>
            <w:tcW w:w="3285" w:type="dxa"/>
            <w:shd w:val="clear" w:color="auto" w:fill="auto"/>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97,000.00</w:t>
            </w:r>
          </w:p>
        </w:tc>
      </w:tr>
      <w:tr w:rsidR="0058149A" w:rsidRPr="000E6FA4" w:rsidTr="00D4230D">
        <w:tc>
          <w:tcPr>
            <w:tcW w:w="3285" w:type="dxa"/>
            <w:shd w:val="clear" w:color="auto" w:fill="D9E2F3"/>
          </w:tcPr>
          <w:p w:rsidR="0058149A" w:rsidRPr="000E6FA4" w:rsidRDefault="0058149A" w:rsidP="00D4230D">
            <w:pPr>
              <w:tabs>
                <w:tab w:val="left" w:pos="0"/>
              </w:tabs>
              <w:rPr>
                <w:rFonts w:ascii="Times New Roman" w:hAnsi="Times New Roman"/>
                <w:b/>
                <w:bCs/>
                <w:sz w:val="18"/>
                <w:szCs w:val="18"/>
                <w:lang w:val="en-GB"/>
              </w:rPr>
            </w:pPr>
            <w:r w:rsidRPr="000E6FA4">
              <w:rPr>
                <w:rFonts w:ascii="Times New Roman" w:hAnsi="Times New Roman"/>
                <w:b/>
                <w:bCs/>
                <w:sz w:val="18"/>
                <w:szCs w:val="18"/>
                <w:lang w:val="en-GB"/>
              </w:rPr>
              <w:t>5.</w:t>
            </w:r>
          </w:p>
        </w:tc>
        <w:tc>
          <w:tcPr>
            <w:tcW w:w="3285" w:type="dxa"/>
            <w:shd w:val="clear" w:color="auto" w:fill="D9E2F3"/>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350,000.00</w:t>
            </w:r>
          </w:p>
        </w:tc>
        <w:tc>
          <w:tcPr>
            <w:tcW w:w="3285" w:type="dxa"/>
            <w:shd w:val="clear" w:color="auto" w:fill="D9E2F3"/>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70,000.00</w:t>
            </w:r>
          </w:p>
        </w:tc>
      </w:tr>
      <w:tr w:rsidR="0058149A" w:rsidRPr="000E6FA4" w:rsidTr="00D4230D">
        <w:tc>
          <w:tcPr>
            <w:tcW w:w="3285" w:type="dxa"/>
            <w:shd w:val="clear" w:color="auto" w:fill="auto"/>
          </w:tcPr>
          <w:p w:rsidR="0058149A" w:rsidRPr="000E6FA4" w:rsidRDefault="0058149A" w:rsidP="00D4230D">
            <w:pPr>
              <w:tabs>
                <w:tab w:val="left" w:pos="0"/>
              </w:tabs>
              <w:rPr>
                <w:rFonts w:ascii="Times New Roman" w:hAnsi="Times New Roman"/>
                <w:b/>
                <w:bCs/>
                <w:sz w:val="18"/>
                <w:szCs w:val="18"/>
                <w:lang w:val="en-GB"/>
              </w:rPr>
            </w:pPr>
            <w:r w:rsidRPr="000E6FA4">
              <w:rPr>
                <w:rFonts w:ascii="Times New Roman" w:hAnsi="Times New Roman"/>
                <w:b/>
                <w:bCs/>
                <w:sz w:val="18"/>
                <w:szCs w:val="18"/>
                <w:lang w:val="en-GB"/>
              </w:rPr>
              <w:t>6.</w:t>
            </w:r>
          </w:p>
        </w:tc>
        <w:tc>
          <w:tcPr>
            <w:tcW w:w="3285" w:type="dxa"/>
            <w:shd w:val="clear" w:color="auto" w:fill="auto"/>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226,000.00</w:t>
            </w:r>
          </w:p>
        </w:tc>
        <w:tc>
          <w:tcPr>
            <w:tcW w:w="3285" w:type="dxa"/>
            <w:shd w:val="clear" w:color="auto" w:fill="auto"/>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56,000.00</w:t>
            </w:r>
          </w:p>
        </w:tc>
      </w:tr>
      <w:tr w:rsidR="0058149A" w:rsidRPr="000E6FA4" w:rsidTr="00D4230D">
        <w:tc>
          <w:tcPr>
            <w:tcW w:w="3285" w:type="dxa"/>
            <w:shd w:val="clear" w:color="auto" w:fill="D9E2F3"/>
          </w:tcPr>
          <w:p w:rsidR="0058149A" w:rsidRPr="000E6FA4" w:rsidRDefault="0058149A" w:rsidP="00D4230D">
            <w:pPr>
              <w:tabs>
                <w:tab w:val="left" w:pos="0"/>
              </w:tabs>
              <w:rPr>
                <w:rFonts w:ascii="Times New Roman" w:hAnsi="Times New Roman"/>
                <w:b/>
                <w:bCs/>
                <w:sz w:val="18"/>
                <w:szCs w:val="18"/>
                <w:lang w:val="en-GB"/>
              </w:rPr>
            </w:pPr>
            <w:r w:rsidRPr="000E6FA4">
              <w:rPr>
                <w:rFonts w:ascii="Times New Roman" w:hAnsi="Times New Roman"/>
                <w:b/>
                <w:bCs/>
                <w:sz w:val="18"/>
                <w:szCs w:val="18"/>
                <w:lang w:val="en-GB"/>
              </w:rPr>
              <w:t>7.</w:t>
            </w:r>
          </w:p>
        </w:tc>
        <w:tc>
          <w:tcPr>
            <w:tcW w:w="3285" w:type="dxa"/>
            <w:shd w:val="clear" w:color="auto" w:fill="D9E2F3"/>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200,000.00</w:t>
            </w:r>
          </w:p>
        </w:tc>
        <w:tc>
          <w:tcPr>
            <w:tcW w:w="3285" w:type="dxa"/>
            <w:shd w:val="clear" w:color="auto" w:fill="D9E2F3"/>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85,000.00</w:t>
            </w:r>
          </w:p>
        </w:tc>
      </w:tr>
      <w:tr w:rsidR="0058149A" w:rsidRPr="000E6FA4" w:rsidTr="00D4230D">
        <w:trPr>
          <w:trHeight w:val="377"/>
        </w:trPr>
        <w:tc>
          <w:tcPr>
            <w:tcW w:w="3285" w:type="dxa"/>
            <w:shd w:val="clear" w:color="auto" w:fill="auto"/>
          </w:tcPr>
          <w:p w:rsidR="0058149A" w:rsidRPr="000E6FA4" w:rsidRDefault="0058149A" w:rsidP="00D4230D">
            <w:pPr>
              <w:spacing w:after="0" w:line="240" w:lineRule="auto"/>
              <w:jc w:val="right"/>
              <w:rPr>
                <w:rFonts w:ascii="Times New Roman" w:hAnsi="Times New Roman"/>
                <w:b/>
                <w:bCs/>
                <w:color w:val="000000"/>
                <w:sz w:val="18"/>
                <w:szCs w:val="18"/>
                <w:lang w:val="en-GB"/>
              </w:rPr>
            </w:pPr>
            <w:r w:rsidRPr="000E6FA4">
              <w:rPr>
                <w:rFonts w:ascii="Times New Roman" w:hAnsi="Times New Roman"/>
                <w:b/>
                <w:bCs/>
                <w:color w:val="000000"/>
                <w:sz w:val="18"/>
                <w:szCs w:val="18"/>
                <w:lang w:val="en-GB"/>
              </w:rPr>
              <w:t>Total:</w:t>
            </w:r>
          </w:p>
        </w:tc>
        <w:tc>
          <w:tcPr>
            <w:tcW w:w="3285" w:type="dxa"/>
            <w:shd w:val="clear" w:color="auto" w:fill="auto"/>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2,373,000.00</w:t>
            </w:r>
          </w:p>
          <w:p w:rsidR="0058149A" w:rsidRPr="000E6FA4" w:rsidRDefault="0058149A" w:rsidP="00D4230D">
            <w:pPr>
              <w:spacing w:after="0" w:line="240" w:lineRule="auto"/>
              <w:jc w:val="right"/>
              <w:rPr>
                <w:rFonts w:ascii="Times New Roman" w:hAnsi="Times New Roman"/>
                <w:color w:val="000000"/>
                <w:sz w:val="18"/>
                <w:szCs w:val="18"/>
                <w:lang w:val="en-GB"/>
              </w:rPr>
            </w:pPr>
          </w:p>
        </w:tc>
        <w:tc>
          <w:tcPr>
            <w:tcW w:w="3285" w:type="dxa"/>
            <w:shd w:val="clear" w:color="auto" w:fill="auto"/>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488,000.00</w:t>
            </w:r>
          </w:p>
        </w:tc>
      </w:tr>
    </w:tbl>
    <w:p w:rsidR="0058149A" w:rsidRPr="000E6FA4" w:rsidRDefault="0058149A" w:rsidP="00BE45B3">
      <w:pPr>
        <w:jc w:val="both"/>
        <w:rPr>
          <w:rFonts w:ascii="Times New Roman" w:hAnsi="Times New Roman"/>
          <w:sz w:val="20"/>
          <w:szCs w:val="20"/>
          <w:lang w:val="en-GB"/>
        </w:rPr>
      </w:pPr>
      <w:r w:rsidRPr="000E6FA4">
        <w:rPr>
          <w:rFonts w:ascii="Times New Roman" w:hAnsi="Times New Roman"/>
          <w:sz w:val="20"/>
          <w:szCs w:val="20"/>
          <w:lang w:val="en-GB"/>
        </w:rPr>
        <w:t>Table showing fines for economic offences imposed by a decision of the competent commercial court on a legal entity and responsible person in the legal entity</w:t>
      </w:r>
    </w:p>
    <w:tbl>
      <w:tblPr>
        <w:tblW w:w="5000" w:type="pct"/>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4680"/>
        <w:gridCol w:w="4680"/>
      </w:tblGrid>
      <w:tr w:rsidR="0058149A" w:rsidRPr="000E6FA4" w:rsidTr="00E45F78">
        <w:trPr>
          <w:trHeight w:val="365"/>
        </w:trPr>
        <w:tc>
          <w:tcPr>
            <w:tcW w:w="2500" w:type="pct"/>
            <w:tcBorders>
              <w:top w:val="nil"/>
              <w:bottom w:val="single" w:sz="12" w:space="0" w:color="9CC2E5"/>
              <w:right w:val="nil"/>
            </w:tcBorders>
            <w:shd w:val="clear" w:color="auto" w:fill="FFFFFF"/>
          </w:tcPr>
          <w:p w:rsidR="0058149A" w:rsidRPr="000E6FA4" w:rsidRDefault="0058149A" w:rsidP="00E45F78">
            <w:pPr>
              <w:tabs>
                <w:tab w:val="left" w:pos="0"/>
              </w:tabs>
              <w:jc w:val="center"/>
              <w:rPr>
                <w:rFonts w:ascii="Times New Roman" w:hAnsi="Times New Roman"/>
                <w:b/>
                <w:bCs/>
                <w:sz w:val="18"/>
                <w:szCs w:val="18"/>
                <w:lang w:val="en-GB"/>
              </w:rPr>
            </w:pPr>
            <w:r w:rsidRPr="000E6FA4">
              <w:rPr>
                <w:rFonts w:ascii="Times New Roman" w:hAnsi="Times New Roman"/>
                <w:b/>
                <w:bCs/>
                <w:sz w:val="18"/>
                <w:szCs w:val="18"/>
                <w:lang w:val="en-GB"/>
              </w:rPr>
              <w:t>Court decisions in procedures instituted against sole traders (AML/CFT Law)</w:t>
            </w:r>
          </w:p>
        </w:tc>
        <w:tc>
          <w:tcPr>
            <w:tcW w:w="2500" w:type="pct"/>
            <w:tcBorders>
              <w:top w:val="nil"/>
              <w:left w:val="nil"/>
              <w:bottom w:val="single" w:sz="12" w:space="0" w:color="9CC2E5"/>
            </w:tcBorders>
            <w:shd w:val="clear" w:color="auto" w:fill="FFFFFF"/>
          </w:tcPr>
          <w:p w:rsidR="0058149A" w:rsidRPr="000E6FA4" w:rsidRDefault="0058149A" w:rsidP="00E45F78">
            <w:pPr>
              <w:tabs>
                <w:tab w:val="left" w:pos="0"/>
              </w:tabs>
              <w:jc w:val="center"/>
              <w:rPr>
                <w:rFonts w:ascii="Times New Roman" w:hAnsi="Times New Roman"/>
                <w:b/>
                <w:bCs/>
                <w:sz w:val="18"/>
                <w:szCs w:val="18"/>
                <w:lang w:val="en-GB"/>
              </w:rPr>
            </w:pPr>
            <w:r w:rsidRPr="000E6FA4">
              <w:rPr>
                <w:rFonts w:ascii="Times New Roman" w:hAnsi="Times New Roman"/>
                <w:b/>
                <w:bCs/>
                <w:sz w:val="18"/>
                <w:szCs w:val="18"/>
                <w:lang w:val="en-GB"/>
              </w:rPr>
              <w:t>Fine imposed in RSD</w:t>
            </w:r>
          </w:p>
        </w:tc>
      </w:tr>
      <w:tr w:rsidR="0058149A" w:rsidRPr="000E6FA4" w:rsidTr="00E45F78">
        <w:trPr>
          <w:trHeight w:val="247"/>
        </w:trPr>
        <w:tc>
          <w:tcPr>
            <w:tcW w:w="2500" w:type="pct"/>
            <w:shd w:val="clear" w:color="auto" w:fill="DEEAF6"/>
          </w:tcPr>
          <w:p w:rsidR="0058149A" w:rsidRPr="000E6FA4" w:rsidRDefault="00E45F78" w:rsidP="0058149A">
            <w:pPr>
              <w:numPr>
                <w:ilvl w:val="0"/>
                <w:numId w:val="5"/>
              </w:numPr>
              <w:tabs>
                <w:tab w:val="left" w:pos="0"/>
              </w:tabs>
              <w:spacing w:after="200" w:line="276" w:lineRule="auto"/>
              <w:jc w:val="both"/>
              <w:rPr>
                <w:rFonts w:ascii="Times New Roman" w:hAnsi="Times New Roman"/>
                <w:b/>
                <w:bCs/>
                <w:sz w:val="18"/>
                <w:szCs w:val="18"/>
                <w:lang w:val="en-GB"/>
              </w:rPr>
            </w:pPr>
            <w:r>
              <w:rPr>
                <w:rFonts w:ascii="Times New Roman" w:hAnsi="Times New Roman"/>
                <w:b/>
                <w:bCs/>
                <w:sz w:val="18"/>
                <w:szCs w:val="18"/>
                <w:lang w:val="en-GB"/>
              </w:rPr>
              <w:t>F</w:t>
            </w:r>
            <w:r w:rsidR="0058149A" w:rsidRPr="000E6FA4">
              <w:rPr>
                <w:rFonts w:ascii="Times New Roman" w:hAnsi="Times New Roman"/>
                <w:b/>
                <w:bCs/>
                <w:sz w:val="18"/>
                <w:szCs w:val="18"/>
                <w:lang w:val="en-GB"/>
              </w:rPr>
              <w:t>inal</w:t>
            </w:r>
          </w:p>
        </w:tc>
        <w:tc>
          <w:tcPr>
            <w:tcW w:w="2500" w:type="pct"/>
            <w:shd w:val="clear" w:color="auto" w:fill="DEEAF6"/>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160,000.00</w:t>
            </w:r>
          </w:p>
          <w:p w:rsidR="0058149A" w:rsidRPr="000E6FA4" w:rsidRDefault="0058149A" w:rsidP="00D4230D">
            <w:pPr>
              <w:spacing w:after="0" w:line="240" w:lineRule="auto"/>
              <w:jc w:val="right"/>
              <w:rPr>
                <w:rFonts w:ascii="Times New Roman" w:hAnsi="Times New Roman"/>
                <w:color w:val="000000"/>
                <w:sz w:val="18"/>
                <w:szCs w:val="18"/>
                <w:lang w:val="en-GB"/>
              </w:rPr>
            </w:pPr>
          </w:p>
        </w:tc>
      </w:tr>
      <w:tr w:rsidR="0058149A" w:rsidRPr="000E6FA4" w:rsidTr="00E45F78">
        <w:tc>
          <w:tcPr>
            <w:tcW w:w="2500" w:type="pct"/>
            <w:shd w:val="clear" w:color="auto" w:fill="auto"/>
          </w:tcPr>
          <w:p w:rsidR="0058149A" w:rsidRPr="000E6FA4" w:rsidRDefault="00E45F78" w:rsidP="0058149A">
            <w:pPr>
              <w:numPr>
                <w:ilvl w:val="0"/>
                <w:numId w:val="5"/>
              </w:numPr>
              <w:tabs>
                <w:tab w:val="left" w:pos="0"/>
              </w:tabs>
              <w:spacing w:after="200" w:line="276" w:lineRule="auto"/>
              <w:jc w:val="both"/>
              <w:rPr>
                <w:rFonts w:ascii="Times New Roman" w:hAnsi="Times New Roman"/>
                <w:b/>
                <w:bCs/>
                <w:sz w:val="18"/>
                <w:szCs w:val="18"/>
                <w:lang w:val="en-GB"/>
              </w:rPr>
            </w:pPr>
            <w:r>
              <w:rPr>
                <w:rFonts w:ascii="Times New Roman" w:hAnsi="Times New Roman"/>
                <w:b/>
                <w:bCs/>
                <w:sz w:val="18"/>
                <w:szCs w:val="18"/>
                <w:lang w:val="en-GB"/>
              </w:rPr>
              <w:t>F</w:t>
            </w:r>
            <w:r w:rsidR="0058149A" w:rsidRPr="000E6FA4">
              <w:rPr>
                <w:rFonts w:ascii="Times New Roman" w:hAnsi="Times New Roman"/>
                <w:b/>
                <w:bCs/>
                <w:sz w:val="18"/>
                <w:szCs w:val="18"/>
                <w:lang w:val="en-GB"/>
              </w:rPr>
              <w:t>inal</w:t>
            </w:r>
          </w:p>
        </w:tc>
        <w:tc>
          <w:tcPr>
            <w:tcW w:w="2500" w:type="pct"/>
            <w:shd w:val="clear" w:color="auto" w:fill="auto"/>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warning</w:t>
            </w:r>
          </w:p>
        </w:tc>
      </w:tr>
      <w:tr w:rsidR="0058149A" w:rsidRPr="000E6FA4" w:rsidTr="00E45F78">
        <w:tc>
          <w:tcPr>
            <w:tcW w:w="2500" w:type="pct"/>
            <w:shd w:val="clear" w:color="auto" w:fill="DEEAF6"/>
          </w:tcPr>
          <w:p w:rsidR="0058149A" w:rsidRPr="000E6FA4" w:rsidRDefault="00E45F78" w:rsidP="0058149A">
            <w:pPr>
              <w:numPr>
                <w:ilvl w:val="0"/>
                <w:numId w:val="5"/>
              </w:numPr>
              <w:tabs>
                <w:tab w:val="left" w:pos="0"/>
              </w:tabs>
              <w:spacing w:after="200" w:line="276" w:lineRule="auto"/>
              <w:jc w:val="both"/>
              <w:rPr>
                <w:rFonts w:ascii="Times New Roman" w:hAnsi="Times New Roman"/>
                <w:b/>
                <w:bCs/>
                <w:sz w:val="18"/>
                <w:szCs w:val="18"/>
                <w:lang w:val="en-GB"/>
              </w:rPr>
            </w:pPr>
            <w:r>
              <w:rPr>
                <w:rFonts w:ascii="Times New Roman" w:hAnsi="Times New Roman"/>
                <w:b/>
                <w:bCs/>
                <w:sz w:val="18"/>
                <w:szCs w:val="18"/>
                <w:lang w:val="en-GB"/>
              </w:rPr>
              <w:t>F</w:t>
            </w:r>
            <w:r w:rsidR="0058149A" w:rsidRPr="000E6FA4">
              <w:rPr>
                <w:rFonts w:ascii="Times New Roman" w:hAnsi="Times New Roman"/>
                <w:b/>
                <w:bCs/>
                <w:sz w:val="18"/>
                <w:szCs w:val="18"/>
                <w:lang w:val="en-GB"/>
              </w:rPr>
              <w:t>irst instance decision</w:t>
            </w:r>
          </w:p>
        </w:tc>
        <w:tc>
          <w:tcPr>
            <w:tcW w:w="2500" w:type="pct"/>
            <w:shd w:val="clear" w:color="auto" w:fill="DEEAF6"/>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130,000.00</w:t>
            </w:r>
          </w:p>
        </w:tc>
      </w:tr>
      <w:tr w:rsidR="0058149A" w:rsidRPr="000E6FA4" w:rsidTr="00E45F78">
        <w:tc>
          <w:tcPr>
            <w:tcW w:w="2500" w:type="pct"/>
            <w:shd w:val="clear" w:color="auto" w:fill="auto"/>
          </w:tcPr>
          <w:p w:rsidR="0058149A" w:rsidRPr="000E6FA4" w:rsidRDefault="00E45F78" w:rsidP="0058149A">
            <w:pPr>
              <w:numPr>
                <w:ilvl w:val="0"/>
                <w:numId w:val="5"/>
              </w:numPr>
              <w:tabs>
                <w:tab w:val="left" w:pos="0"/>
              </w:tabs>
              <w:spacing w:after="200" w:line="276" w:lineRule="auto"/>
              <w:jc w:val="both"/>
              <w:rPr>
                <w:rFonts w:ascii="Times New Roman" w:hAnsi="Times New Roman"/>
                <w:b/>
                <w:bCs/>
                <w:sz w:val="18"/>
                <w:szCs w:val="18"/>
                <w:lang w:val="en-GB"/>
              </w:rPr>
            </w:pPr>
            <w:r>
              <w:rPr>
                <w:rFonts w:ascii="Times New Roman" w:hAnsi="Times New Roman"/>
                <w:b/>
                <w:bCs/>
                <w:sz w:val="18"/>
                <w:szCs w:val="18"/>
                <w:lang w:val="en-GB"/>
              </w:rPr>
              <w:t>F</w:t>
            </w:r>
            <w:r w:rsidR="0058149A" w:rsidRPr="000E6FA4">
              <w:rPr>
                <w:rFonts w:ascii="Times New Roman" w:hAnsi="Times New Roman"/>
                <w:b/>
                <w:bCs/>
                <w:sz w:val="18"/>
                <w:szCs w:val="18"/>
                <w:lang w:val="en-GB"/>
              </w:rPr>
              <w:t>irst instance decision</w:t>
            </w:r>
          </w:p>
        </w:tc>
        <w:tc>
          <w:tcPr>
            <w:tcW w:w="2500" w:type="pct"/>
            <w:shd w:val="clear" w:color="auto" w:fill="auto"/>
          </w:tcPr>
          <w:p w:rsidR="0058149A" w:rsidRPr="000E6FA4" w:rsidRDefault="0058149A" w:rsidP="00D4230D">
            <w:pPr>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170,000.00</w:t>
            </w:r>
          </w:p>
        </w:tc>
      </w:tr>
      <w:tr w:rsidR="0058149A" w:rsidRPr="000E6FA4" w:rsidTr="00E45F78">
        <w:tc>
          <w:tcPr>
            <w:tcW w:w="2500" w:type="pct"/>
            <w:shd w:val="clear" w:color="auto" w:fill="DEEAF6"/>
          </w:tcPr>
          <w:p w:rsidR="0058149A" w:rsidRPr="000E6FA4" w:rsidRDefault="00E45F78" w:rsidP="0058149A">
            <w:pPr>
              <w:numPr>
                <w:ilvl w:val="0"/>
                <w:numId w:val="5"/>
              </w:numPr>
              <w:tabs>
                <w:tab w:val="left" w:pos="0"/>
              </w:tabs>
              <w:spacing w:after="200" w:line="276" w:lineRule="auto"/>
              <w:jc w:val="both"/>
              <w:rPr>
                <w:rFonts w:ascii="Times New Roman" w:hAnsi="Times New Roman"/>
                <w:b/>
                <w:bCs/>
                <w:sz w:val="18"/>
                <w:szCs w:val="18"/>
                <w:lang w:val="en-GB"/>
              </w:rPr>
            </w:pPr>
            <w:r>
              <w:rPr>
                <w:rFonts w:ascii="Times New Roman" w:hAnsi="Times New Roman"/>
                <w:b/>
                <w:bCs/>
                <w:sz w:val="18"/>
                <w:szCs w:val="18"/>
                <w:lang w:val="en-GB"/>
              </w:rPr>
              <w:t>F</w:t>
            </w:r>
            <w:r w:rsidR="0058149A" w:rsidRPr="000E6FA4">
              <w:rPr>
                <w:rFonts w:ascii="Times New Roman" w:hAnsi="Times New Roman"/>
                <w:b/>
                <w:bCs/>
                <w:sz w:val="18"/>
                <w:szCs w:val="18"/>
                <w:lang w:val="en-GB"/>
              </w:rPr>
              <w:t>irst instance decision</w:t>
            </w:r>
          </w:p>
        </w:tc>
        <w:tc>
          <w:tcPr>
            <w:tcW w:w="2500" w:type="pct"/>
            <w:shd w:val="clear" w:color="auto" w:fill="DEEAF6"/>
          </w:tcPr>
          <w:p w:rsidR="0058149A" w:rsidRPr="000E6FA4" w:rsidRDefault="0058149A" w:rsidP="00D4230D">
            <w:pPr>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100,000.00</w:t>
            </w:r>
          </w:p>
        </w:tc>
      </w:tr>
      <w:tr w:rsidR="0058149A" w:rsidRPr="000E6FA4" w:rsidTr="00E45F78">
        <w:tc>
          <w:tcPr>
            <w:tcW w:w="2500" w:type="pct"/>
            <w:shd w:val="clear" w:color="auto" w:fill="auto"/>
          </w:tcPr>
          <w:p w:rsidR="0058149A" w:rsidRPr="000E6FA4" w:rsidRDefault="00E45F78" w:rsidP="0058149A">
            <w:pPr>
              <w:numPr>
                <w:ilvl w:val="0"/>
                <w:numId w:val="5"/>
              </w:numPr>
              <w:tabs>
                <w:tab w:val="left" w:pos="0"/>
              </w:tabs>
              <w:spacing w:after="200" w:line="276" w:lineRule="auto"/>
              <w:jc w:val="both"/>
              <w:rPr>
                <w:rFonts w:ascii="Times New Roman" w:hAnsi="Times New Roman"/>
                <w:b/>
                <w:bCs/>
                <w:sz w:val="18"/>
                <w:szCs w:val="18"/>
                <w:lang w:val="en-GB"/>
              </w:rPr>
            </w:pPr>
            <w:r>
              <w:rPr>
                <w:rFonts w:ascii="Times New Roman" w:hAnsi="Times New Roman"/>
                <w:b/>
                <w:bCs/>
                <w:sz w:val="18"/>
                <w:szCs w:val="18"/>
                <w:lang w:val="en-GB"/>
              </w:rPr>
              <w:t>F</w:t>
            </w:r>
            <w:r w:rsidR="0058149A" w:rsidRPr="000E6FA4">
              <w:rPr>
                <w:rFonts w:ascii="Times New Roman" w:hAnsi="Times New Roman"/>
                <w:b/>
                <w:bCs/>
                <w:sz w:val="18"/>
                <w:szCs w:val="18"/>
                <w:lang w:val="en-GB"/>
              </w:rPr>
              <w:t>irst instance decision</w:t>
            </w:r>
          </w:p>
        </w:tc>
        <w:tc>
          <w:tcPr>
            <w:tcW w:w="2500" w:type="pct"/>
            <w:shd w:val="clear" w:color="auto" w:fill="auto"/>
          </w:tcPr>
          <w:p w:rsidR="0058149A" w:rsidRPr="000E6FA4" w:rsidRDefault="0058149A" w:rsidP="00D4230D">
            <w:pPr>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50,000.00</w:t>
            </w:r>
          </w:p>
        </w:tc>
      </w:tr>
      <w:tr w:rsidR="0058149A" w:rsidRPr="000E6FA4" w:rsidTr="00E45F78">
        <w:tc>
          <w:tcPr>
            <w:tcW w:w="2500" w:type="pct"/>
            <w:shd w:val="clear" w:color="auto" w:fill="DEEAF6"/>
          </w:tcPr>
          <w:p w:rsidR="0058149A" w:rsidRPr="000E6FA4" w:rsidRDefault="0058149A" w:rsidP="00D4230D">
            <w:pPr>
              <w:tabs>
                <w:tab w:val="left" w:pos="0"/>
              </w:tabs>
              <w:rPr>
                <w:rFonts w:ascii="Times New Roman" w:hAnsi="Times New Roman"/>
                <w:b/>
                <w:bCs/>
                <w:sz w:val="18"/>
                <w:szCs w:val="18"/>
                <w:lang w:val="en-GB"/>
              </w:rPr>
            </w:pPr>
            <w:r w:rsidRPr="000E6FA4">
              <w:rPr>
                <w:rFonts w:ascii="Times New Roman" w:hAnsi="Times New Roman"/>
                <w:b/>
                <w:bCs/>
                <w:sz w:val="18"/>
                <w:szCs w:val="18"/>
                <w:lang w:val="en-GB"/>
              </w:rPr>
              <w:t>Total:</w:t>
            </w:r>
          </w:p>
        </w:tc>
        <w:tc>
          <w:tcPr>
            <w:tcW w:w="2500" w:type="pct"/>
            <w:shd w:val="clear" w:color="auto" w:fill="DEEAF6"/>
          </w:tcPr>
          <w:p w:rsidR="0058149A" w:rsidRPr="000E6FA4" w:rsidRDefault="0058149A" w:rsidP="00D4230D">
            <w:pPr>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610,000.00</w:t>
            </w:r>
          </w:p>
        </w:tc>
      </w:tr>
    </w:tbl>
    <w:p w:rsidR="0058149A" w:rsidRPr="000E6FA4" w:rsidRDefault="0058149A" w:rsidP="0058149A">
      <w:pPr>
        <w:tabs>
          <w:tab w:val="left" w:pos="0"/>
        </w:tabs>
        <w:spacing w:after="0"/>
        <w:rPr>
          <w:rFonts w:ascii="Times New Roman" w:hAnsi="Times New Roman"/>
          <w:sz w:val="20"/>
          <w:szCs w:val="20"/>
          <w:lang w:val="en-GB"/>
        </w:rPr>
      </w:pPr>
      <w:r w:rsidRPr="000E6FA4">
        <w:rPr>
          <w:rFonts w:ascii="Times New Roman" w:hAnsi="Times New Roman"/>
          <w:sz w:val="20"/>
          <w:szCs w:val="20"/>
          <w:lang w:val="en-GB"/>
        </w:rPr>
        <w:t>Table showing fines imposed on sole trader</w:t>
      </w:r>
    </w:p>
    <w:p w:rsidR="0058149A" w:rsidRPr="000E6FA4" w:rsidRDefault="0058149A" w:rsidP="00245673">
      <w:pPr>
        <w:spacing w:line="240" w:lineRule="auto"/>
        <w:jc w:val="both"/>
        <w:rPr>
          <w:rFonts w:ascii="Times New Roman" w:hAnsi="Times New Roman"/>
          <w:sz w:val="24"/>
          <w:szCs w:val="24"/>
          <w:lang w:val="en-GB"/>
        </w:rPr>
      </w:pPr>
    </w:p>
    <w:tbl>
      <w:tblPr>
        <w:tblW w:w="0" w:type="auto"/>
        <w:tblBorders>
          <w:top w:val="single" w:sz="2" w:space="0" w:color="8EAADB"/>
          <w:bottom w:val="single" w:sz="2" w:space="0" w:color="8EAADB"/>
          <w:insideH w:val="single" w:sz="2" w:space="0" w:color="8EAADB"/>
          <w:insideV w:val="single" w:sz="2" w:space="0" w:color="8EAADB"/>
        </w:tblBorders>
        <w:tblLook w:val="04A0" w:firstRow="1" w:lastRow="0" w:firstColumn="1" w:lastColumn="0" w:noHBand="0" w:noVBand="1"/>
      </w:tblPr>
      <w:tblGrid>
        <w:gridCol w:w="3121"/>
        <w:gridCol w:w="3117"/>
        <w:gridCol w:w="3122"/>
      </w:tblGrid>
      <w:tr w:rsidR="0058149A" w:rsidRPr="000E6FA4" w:rsidTr="00D4230D">
        <w:trPr>
          <w:trHeight w:val="365"/>
        </w:trPr>
        <w:tc>
          <w:tcPr>
            <w:tcW w:w="3285" w:type="dxa"/>
            <w:tcBorders>
              <w:top w:val="nil"/>
              <w:bottom w:val="single" w:sz="12" w:space="0" w:color="8EAADB"/>
              <w:right w:val="nil"/>
            </w:tcBorders>
            <w:shd w:val="clear" w:color="auto" w:fill="FFFFFF"/>
          </w:tcPr>
          <w:p w:rsidR="0058149A" w:rsidRPr="000E6FA4" w:rsidRDefault="0058149A" w:rsidP="00E45F78">
            <w:pPr>
              <w:tabs>
                <w:tab w:val="left" w:pos="0"/>
              </w:tabs>
              <w:jc w:val="center"/>
              <w:rPr>
                <w:rFonts w:ascii="Times New Roman" w:hAnsi="Times New Roman"/>
                <w:b/>
                <w:bCs/>
                <w:sz w:val="18"/>
                <w:szCs w:val="18"/>
                <w:lang w:val="en-GB"/>
              </w:rPr>
            </w:pPr>
            <w:r w:rsidRPr="000E6FA4">
              <w:rPr>
                <w:rFonts w:ascii="Times New Roman" w:hAnsi="Times New Roman"/>
                <w:b/>
                <w:bCs/>
                <w:sz w:val="18"/>
                <w:szCs w:val="18"/>
                <w:lang w:val="en-GB"/>
              </w:rPr>
              <w:t>Court decisions in procedures under the Law on Central Records of BOs</w:t>
            </w:r>
          </w:p>
        </w:tc>
        <w:tc>
          <w:tcPr>
            <w:tcW w:w="3285" w:type="dxa"/>
            <w:tcBorders>
              <w:top w:val="nil"/>
              <w:left w:val="nil"/>
              <w:bottom w:val="single" w:sz="12" w:space="0" w:color="8EAADB"/>
              <w:right w:val="nil"/>
            </w:tcBorders>
            <w:shd w:val="clear" w:color="auto" w:fill="FFFFFF"/>
          </w:tcPr>
          <w:p w:rsidR="0058149A" w:rsidRPr="000E6FA4" w:rsidRDefault="0058149A" w:rsidP="00E45F78">
            <w:pPr>
              <w:tabs>
                <w:tab w:val="left" w:pos="0"/>
              </w:tabs>
              <w:jc w:val="center"/>
              <w:rPr>
                <w:rFonts w:ascii="Times New Roman" w:hAnsi="Times New Roman"/>
                <w:b/>
                <w:bCs/>
                <w:sz w:val="18"/>
                <w:szCs w:val="18"/>
                <w:lang w:val="en-GB"/>
              </w:rPr>
            </w:pPr>
            <w:r w:rsidRPr="000E6FA4">
              <w:rPr>
                <w:rFonts w:ascii="Times New Roman" w:hAnsi="Times New Roman"/>
                <w:b/>
                <w:bCs/>
                <w:sz w:val="18"/>
                <w:szCs w:val="18"/>
                <w:lang w:val="en-GB"/>
              </w:rPr>
              <w:t>Fine imposed on legal entity in RSD</w:t>
            </w:r>
          </w:p>
        </w:tc>
        <w:tc>
          <w:tcPr>
            <w:tcW w:w="3285" w:type="dxa"/>
            <w:tcBorders>
              <w:top w:val="nil"/>
              <w:left w:val="nil"/>
              <w:bottom w:val="single" w:sz="12" w:space="0" w:color="8EAADB"/>
            </w:tcBorders>
            <w:shd w:val="clear" w:color="auto" w:fill="FFFFFF"/>
          </w:tcPr>
          <w:p w:rsidR="0058149A" w:rsidRPr="000E6FA4" w:rsidRDefault="0058149A" w:rsidP="00E45F78">
            <w:pPr>
              <w:tabs>
                <w:tab w:val="left" w:pos="0"/>
              </w:tabs>
              <w:jc w:val="center"/>
              <w:rPr>
                <w:rFonts w:ascii="Times New Roman" w:hAnsi="Times New Roman"/>
                <w:b/>
                <w:bCs/>
                <w:sz w:val="18"/>
                <w:szCs w:val="18"/>
                <w:lang w:val="en-GB"/>
              </w:rPr>
            </w:pPr>
            <w:r w:rsidRPr="000E6FA4">
              <w:rPr>
                <w:rFonts w:ascii="Times New Roman" w:hAnsi="Times New Roman"/>
                <w:b/>
                <w:bCs/>
                <w:sz w:val="18"/>
                <w:szCs w:val="18"/>
                <w:lang w:val="en-GB"/>
              </w:rPr>
              <w:t>Fine imposed on responsible person in the legal entity in RSD</w:t>
            </w:r>
          </w:p>
        </w:tc>
      </w:tr>
      <w:tr w:rsidR="0058149A" w:rsidRPr="000E6FA4" w:rsidTr="00D4230D">
        <w:trPr>
          <w:trHeight w:val="247"/>
        </w:trPr>
        <w:tc>
          <w:tcPr>
            <w:tcW w:w="3285" w:type="dxa"/>
            <w:shd w:val="clear" w:color="auto" w:fill="D9E2F3"/>
          </w:tcPr>
          <w:p w:rsidR="0058149A" w:rsidRPr="000E6FA4" w:rsidRDefault="0058149A" w:rsidP="00D4230D">
            <w:pPr>
              <w:tabs>
                <w:tab w:val="left" w:pos="0"/>
              </w:tabs>
              <w:rPr>
                <w:rFonts w:ascii="Times New Roman" w:hAnsi="Times New Roman"/>
                <w:b/>
                <w:bCs/>
                <w:sz w:val="18"/>
                <w:szCs w:val="18"/>
                <w:lang w:val="en-GB"/>
              </w:rPr>
            </w:pPr>
            <w:r w:rsidRPr="000E6FA4">
              <w:rPr>
                <w:rFonts w:ascii="Times New Roman" w:hAnsi="Times New Roman"/>
                <w:b/>
                <w:bCs/>
                <w:sz w:val="18"/>
                <w:szCs w:val="18"/>
                <w:lang w:val="en-GB"/>
              </w:rPr>
              <w:t>1.</w:t>
            </w:r>
          </w:p>
        </w:tc>
        <w:tc>
          <w:tcPr>
            <w:tcW w:w="3285" w:type="dxa"/>
            <w:shd w:val="clear" w:color="auto" w:fill="D9E2F3"/>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100,000.00</w:t>
            </w:r>
          </w:p>
        </w:tc>
        <w:tc>
          <w:tcPr>
            <w:tcW w:w="3285" w:type="dxa"/>
            <w:shd w:val="clear" w:color="auto" w:fill="D9E2F3"/>
          </w:tcPr>
          <w:p w:rsidR="0058149A" w:rsidRPr="000E6FA4" w:rsidRDefault="0058149A" w:rsidP="00D4230D">
            <w:pPr>
              <w:spacing w:after="0" w:line="240" w:lineRule="auto"/>
              <w:jc w:val="right"/>
              <w:rPr>
                <w:rFonts w:ascii="Times New Roman" w:hAnsi="Times New Roman"/>
                <w:color w:val="000000"/>
                <w:sz w:val="18"/>
                <w:szCs w:val="18"/>
                <w:lang w:val="en-GB"/>
              </w:rPr>
            </w:pPr>
            <w:r w:rsidRPr="000E6FA4">
              <w:rPr>
                <w:rFonts w:ascii="Times New Roman" w:hAnsi="Times New Roman"/>
                <w:color w:val="000000"/>
                <w:sz w:val="18"/>
                <w:szCs w:val="18"/>
                <w:lang w:val="en-GB"/>
              </w:rPr>
              <w:t>10.000,00</w:t>
            </w:r>
          </w:p>
        </w:tc>
      </w:tr>
    </w:tbl>
    <w:p w:rsidR="0058149A" w:rsidRPr="000E6FA4" w:rsidRDefault="0058149A" w:rsidP="0058149A">
      <w:pPr>
        <w:tabs>
          <w:tab w:val="left" w:pos="0"/>
        </w:tabs>
        <w:spacing w:after="0"/>
        <w:rPr>
          <w:rFonts w:ascii="Times New Roman" w:hAnsi="Times New Roman"/>
          <w:sz w:val="20"/>
          <w:szCs w:val="20"/>
          <w:lang w:val="en-GB"/>
        </w:rPr>
      </w:pPr>
      <w:r w:rsidRPr="000E6FA4">
        <w:rPr>
          <w:rFonts w:ascii="Times New Roman" w:hAnsi="Times New Roman"/>
          <w:sz w:val="20"/>
          <w:szCs w:val="20"/>
          <w:lang w:val="en-GB"/>
        </w:rPr>
        <w:t xml:space="preserve">Table showing fines imposed on legal entity and </w:t>
      </w:r>
      <w:r w:rsidR="004611B3" w:rsidRPr="000E6FA4">
        <w:rPr>
          <w:rFonts w:ascii="Times New Roman" w:hAnsi="Times New Roman"/>
          <w:sz w:val="20"/>
          <w:szCs w:val="20"/>
          <w:lang w:val="en-GB"/>
        </w:rPr>
        <w:t>responsible</w:t>
      </w:r>
      <w:r w:rsidRPr="000E6FA4">
        <w:rPr>
          <w:rFonts w:ascii="Times New Roman" w:hAnsi="Times New Roman"/>
          <w:sz w:val="20"/>
          <w:szCs w:val="20"/>
          <w:lang w:val="en-GB"/>
        </w:rPr>
        <w:t xml:space="preserve"> person in the legal entity</w:t>
      </w:r>
    </w:p>
    <w:p w:rsidR="00C1709B" w:rsidRPr="000E6FA4" w:rsidRDefault="00C1709B" w:rsidP="00A5325D">
      <w:pPr>
        <w:spacing w:line="240" w:lineRule="auto"/>
        <w:jc w:val="both"/>
        <w:rPr>
          <w:rFonts w:ascii="Times New Roman" w:hAnsi="Times New Roman" w:cs="Times New Roman"/>
          <w:sz w:val="24"/>
          <w:szCs w:val="24"/>
          <w:lang w:val="en-GB"/>
        </w:rPr>
      </w:pPr>
    </w:p>
    <w:p w:rsidR="00B04C2C" w:rsidRPr="000E6FA4" w:rsidRDefault="00373331" w:rsidP="00B04C2C">
      <w:pPr>
        <w:pStyle w:val="Heading1"/>
        <w:rPr>
          <w:lang w:val="en-GB"/>
        </w:rPr>
      </w:pPr>
      <w:bookmarkStart w:id="40" w:name="_Toc179546486"/>
      <w:r w:rsidRPr="000E6FA4">
        <w:rPr>
          <w:bCs/>
          <w:lang w:val="en-GB"/>
        </w:rPr>
        <w:t>IT SUPPORT TO FIU CORE FUNCTIONS</w:t>
      </w:r>
      <w:bookmarkEnd w:id="40"/>
      <w:r w:rsidRPr="000E6FA4">
        <w:rPr>
          <w:b w:val="0"/>
          <w:lang w:val="en-GB"/>
        </w:rPr>
        <w:t xml:space="preserve"> </w:t>
      </w:r>
    </w:p>
    <w:p w:rsidR="00B04C2C" w:rsidRPr="000E6FA4" w:rsidRDefault="00B04C2C" w:rsidP="00B04C2C">
      <w:pPr>
        <w:pStyle w:val="BodyText"/>
        <w:ind w:left="120" w:right="536" w:firstLine="720"/>
        <w:jc w:val="both"/>
        <w:rPr>
          <w:lang w:val="en-GB"/>
        </w:rPr>
      </w:pPr>
    </w:p>
    <w:p w:rsidR="00C076C3" w:rsidRPr="000E6FA4" w:rsidRDefault="00F26892" w:rsidP="00C076C3">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IT tasks include a set of activities aiming at supporting a smooth operation of APML internal IT systems, and APML networking with other stakeholders in order to ensure safe and efficient exchange of data, information and documentation.</w:t>
      </w:r>
    </w:p>
    <w:p w:rsidR="00C076C3" w:rsidRPr="000E6FA4" w:rsidRDefault="00C076C3" w:rsidP="00C076C3">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An important area of IT staff is the provision of support to obliged entities for using APML’s applications for transaction reporting and document exchange, and management of user accounts and certificates for accessing them. As part of this work, the IT staff ensures that all incoming documents are processed and imported into the APML IT system, and that transaction reports received from certain obliged entities are manually imported. In addition, digital certificates were issued to obliged entities for accessing to APML applications and administering the system users.</w:t>
      </w:r>
    </w:p>
    <w:p w:rsidR="00C076C3" w:rsidRPr="000E6FA4" w:rsidRDefault="00C076C3" w:rsidP="00C076C3">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The IT staff continuously monitor, oversee and maintain APML’s entire IT system in an operational condition and continuously work to improve its performance. This includes improving the APML’s technical equipment and identifying the APML’s needs for IT equipment, which also includes planning of equipment disposal and purchasing of equipment for new staff, including new work stations, printers and other hardware, and their installation.</w:t>
      </w:r>
    </w:p>
    <w:p w:rsidR="00B04C2C" w:rsidRPr="000E6FA4" w:rsidRDefault="00C076C3" w:rsidP="00C076C3">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2021 saw the start of the development of the new CTR and STR reporting application, i.e. TMIS 2 (Transaction Management Information System, ver. 2), the work which continued into 2022. TMIS 2 became operational on 01.01.2023. A series of meetings were held with obliged entities in order to familiarise with the application, participate in the testing phase and suggest improvements. The new application is a result of the need for modernising the previous TMIS and thus overcome any difficulties that the application users had when installing new operational systems, as well as the result of introduction of new obliged entity categories in the AML/CFT system. In addition to addressing the above needs, the new application will make it easier for its users to keep statistics concerning CTR and STR information. </w:t>
      </w:r>
    </w:p>
    <w:p w:rsidR="00EC36EB" w:rsidRPr="000E6FA4" w:rsidRDefault="00373331" w:rsidP="00EC36EB">
      <w:pPr>
        <w:pStyle w:val="Heading1"/>
        <w:rPr>
          <w:lang w:val="en-GB"/>
        </w:rPr>
      </w:pPr>
      <w:bookmarkStart w:id="41" w:name="_Toc179546487"/>
      <w:r w:rsidRPr="000E6FA4">
        <w:rPr>
          <w:bCs/>
          <w:lang w:val="en-GB"/>
        </w:rPr>
        <w:t>FATCA</w:t>
      </w:r>
      <w:bookmarkEnd w:id="41"/>
      <w:r w:rsidRPr="000E6FA4">
        <w:rPr>
          <w:b w:val="0"/>
          <w:lang w:val="en-GB"/>
        </w:rPr>
        <w:t xml:space="preserve"> </w:t>
      </w:r>
    </w:p>
    <w:p w:rsidR="00783990" w:rsidRDefault="00783990" w:rsidP="00A5325D">
      <w:pPr>
        <w:spacing w:line="240" w:lineRule="auto"/>
        <w:jc w:val="both"/>
        <w:rPr>
          <w:rFonts w:ascii="Times New Roman" w:hAnsi="Times New Roman" w:cs="Times New Roman"/>
          <w:sz w:val="24"/>
          <w:szCs w:val="24"/>
          <w:lang w:val="en-GB"/>
        </w:rPr>
      </w:pPr>
    </w:p>
    <w:p w:rsidR="00373331" w:rsidRPr="000E6FA4" w:rsidRDefault="00373331" w:rsidP="00A5325D">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The APML is the competent authority for the implementation of the Serbia - USA intergovernmental agreement on the implementation of FATCA (</w:t>
      </w:r>
      <w:r w:rsidR="00783990" w:rsidRPr="00783990">
        <w:rPr>
          <w:rFonts w:ascii="Times New Roman" w:hAnsi="Times New Roman" w:cs="Times New Roman"/>
          <w:i/>
          <w:sz w:val="24"/>
          <w:szCs w:val="24"/>
          <w:lang w:val="en-GB"/>
        </w:rPr>
        <w:t>US</w:t>
      </w:r>
      <w:r w:rsidR="00783990">
        <w:rPr>
          <w:rFonts w:ascii="Times New Roman" w:hAnsi="Times New Roman" w:cs="Times New Roman"/>
          <w:sz w:val="24"/>
          <w:szCs w:val="24"/>
          <w:lang w:val="en-GB"/>
        </w:rPr>
        <w:t xml:space="preserve"> </w:t>
      </w:r>
      <w:r w:rsidRPr="00783990">
        <w:rPr>
          <w:rFonts w:ascii="Times New Roman" w:hAnsi="Times New Roman" w:cs="Times New Roman"/>
          <w:i/>
          <w:sz w:val="24"/>
          <w:szCs w:val="24"/>
          <w:lang w:val="en-GB"/>
        </w:rPr>
        <w:t>Foreign Account Tax Compliance Act</w:t>
      </w:r>
      <w:r w:rsidRPr="000E6FA4">
        <w:rPr>
          <w:rFonts w:ascii="Times New Roman" w:hAnsi="Times New Roman" w:cs="Times New Roman"/>
          <w:sz w:val="24"/>
          <w:szCs w:val="24"/>
          <w:lang w:val="en-GB"/>
        </w:rPr>
        <w:t xml:space="preserve">). </w:t>
      </w:r>
    </w:p>
    <w:p w:rsidR="00373331" w:rsidRPr="000E6FA4" w:rsidRDefault="00373331" w:rsidP="00A5325D">
      <w:pPr>
        <w:spacing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 xml:space="preserve">In the course of 2022, APML communicated with the </w:t>
      </w:r>
      <w:r w:rsidR="00945E91">
        <w:rPr>
          <w:rFonts w:ascii="Times New Roman" w:hAnsi="Times New Roman" w:cs="Times New Roman"/>
          <w:sz w:val="24"/>
          <w:szCs w:val="24"/>
          <w:lang w:val="en-GB"/>
        </w:rPr>
        <w:t>relevant</w:t>
      </w:r>
      <w:r w:rsidRPr="000E6FA4">
        <w:rPr>
          <w:rFonts w:ascii="Times New Roman" w:hAnsi="Times New Roman" w:cs="Times New Roman"/>
          <w:sz w:val="24"/>
          <w:szCs w:val="24"/>
          <w:lang w:val="en-GB"/>
        </w:rPr>
        <w:t xml:space="preserve"> USA authorities and obliged entities to ensure appropriate application of this agreement. In this context, the staff administrated access rights </w:t>
      </w:r>
      <w:r w:rsidR="00945E91">
        <w:rPr>
          <w:rFonts w:ascii="Times New Roman" w:hAnsi="Times New Roman" w:cs="Times New Roman"/>
          <w:sz w:val="24"/>
          <w:szCs w:val="24"/>
          <w:lang w:val="en-GB"/>
        </w:rPr>
        <w:t>to the system for the receipt of</w:t>
      </w:r>
      <w:r w:rsidRPr="000E6FA4">
        <w:rPr>
          <w:rFonts w:ascii="Times New Roman" w:hAnsi="Times New Roman" w:cs="Times New Roman"/>
          <w:sz w:val="24"/>
          <w:szCs w:val="24"/>
          <w:lang w:val="en-GB"/>
        </w:rPr>
        <w:t xml:space="preserve"> obliged entity notificatio</w:t>
      </w:r>
      <w:r w:rsidR="00945E91">
        <w:rPr>
          <w:rFonts w:ascii="Times New Roman" w:hAnsi="Times New Roman" w:cs="Times New Roman"/>
          <w:sz w:val="24"/>
          <w:szCs w:val="24"/>
          <w:lang w:val="en-GB"/>
        </w:rPr>
        <w:t>ns in line with FATCA agreement in accordance with IRS specifications. E</w:t>
      </w:r>
      <w:r w:rsidRPr="000E6FA4">
        <w:rPr>
          <w:rFonts w:ascii="Times New Roman" w:hAnsi="Times New Roman" w:cs="Times New Roman"/>
          <w:sz w:val="24"/>
          <w:szCs w:val="24"/>
          <w:lang w:val="en-GB"/>
        </w:rPr>
        <w:t>lectronic filing of obliged entity reports through FATCA application was supported and monitored.</w:t>
      </w:r>
    </w:p>
    <w:p w:rsidR="00EC36EB" w:rsidRPr="000E6FA4" w:rsidRDefault="00C431DB" w:rsidP="00EC36EB">
      <w:pPr>
        <w:pStyle w:val="Heading1"/>
        <w:rPr>
          <w:lang w:val="en-GB"/>
        </w:rPr>
      </w:pPr>
      <w:bookmarkStart w:id="42" w:name="_Toc179546488"/>
      <w:r w:rsidRPr="000E6FA4">
        <w:rPr>
          <w:bCs/>
          <w:lang w:val="en-GB"/>
        </w:rPr>
        <w:t>INTERNAL ORGANISATION AND HUMAN RESOURCES</w:t>
      </w:r>
      <w:bookmarkEnd w:id="42"/>
      <w:r w:rsidRPr="000E6FA4">
        <w:rPr>
          <w:b w:val="0"/>
          <w:lang w:val="en-GB"/>
        </w:rPr>
        <w:t xml:space="preserve"> </w:t>
      </w:r>
    </w:p>
    <w:p w:rsidR="00783990" w:rsidRDefault="00783990" w:rsidP="001A7694">
      <w:pPr>
        <w:spacing w:after="0" w:line="240" w:lineRule="auto"/>
        <w:jc w:val="both"/>
        <w:rPr>
          <w:rFonts w:ascii="Times New Roman" w:hAnsi="Times New Roman" w:cs="Times New Roman"/>
          <w:sz w:val="24"/>
          <w:szCs w:val="24"/>
          <w:lang w:val="en-GB"/>
        </w:rPr>
      </w:pPr>
    </w:p>
    <w:p w:rsidR="001A7694" w:rsidRPr="000E6FA4" w:rsidRDefault="001A7694" w:rsidP="001A7694">
      <w:pPr>
        <w:spacing w:after="0"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The Regulation (</w:t>
      </w:r>
      <w:r w:rsidRPr="000E6FA4">
        <w:rPr>
          <w:rFonts w:ascii="Times New Roman" w:hAnsi="Times New Roman" w:cs="Times New Roman"/>
          <w:i/>
          <w:iCs/>
          <w:sz w:val="24"/>
          <w:szCs w:val="24"/>
          <w:lang w:val="en-GB"/>
        </w:rPr>
        <w:t>Rulebook</w:t>
      </w:r>
      <w:r w:rsidRPr="000E6FA4">
        <w:rPr>
          <w:rFonts w:ascii="Times New Roman" w:hAnsi="Times New Roman" w:cs="Times New Roman"/>
          <w:sz w:val="24"/>
          <w:szCs w:val="24"/>
          <w:lang w:val="en-GB"/>
        </w:rPr>
        <w:t>) on APML’s internal organisation and systematisation of jobs has created the following:</w:t>
      </w:r>
    </w:p>
    <w:p w:rsidR="001A7694" w:rsidRPr="000E6FA4" w:rsidRDefault="001A7694" w:rsidP="001A7694">
      <w:pPr>
        <w:tabs>
          <w:tab w:val="left" w:pos="709"/>
        </w:tabs>
        <w:spacing w:after="0"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lastRenderedPageBreak/>
        <w:br/>
      </w:r>
      <w:r w:rsidRPr="000E6FA4">
        <w:rPr>
          <w:rFonts w:ascii="Times New Roman" w:hAnsi="Times New Roman" w:cs="Times New Roman"/>
          <w:i/>
          <w:iCs/>
          <w:sz w:val="24"/>
          <w:szCs w:val="24"/>
          <w:lang w:val="en-GB"/>
        </w:rPr>
        <w:t xml:space="preserve">Sector for analysis and counter terrorist financing </w:t>
      </w:r>
      <w:r w:rsidRPr="000E6FA4">
        <w:rPr>
          <w:rFonts w:ascii="Times New Roman" w:hAnsi="Times New Roman" w:cs="Times New Roman"/>
          <w:sz w:val="24"/>
          <w:szCs w:val="24"/>
          <w:lang w:val="en-GB"/>
        </w:rPr>
        <w:t xml:space="preserve">as the main internal unit under which the following internal units are established: </w:t>
      </w:r>
    </w:p>
    <w:p w:rsidR="001A7694" w:rsidRPr="000E6FA4" w:rsidRDefault="001A7694" w:rsidP="001A7694">
      <w:pPr>
        <w:pStyle w:val="ListParagraph"/>
        <w:numPr>
          <w:ilvl w:val="0"/>
          <w:numId w:val="6"/>
        </w:numPr>
        <w:tabs>
          <w:tab w:val="left" w:pos="709"/>
        </w:tabs>
        <w:spacing w:after="0" w:line="240" w:lineRule="auto"/>
        <w:rPr>
          <w:rFonts w:ascii="Times New Roman" w:hAnsi="Times New Roman" w:cs="Times New Roman"/>
          <w:sz w:val="24"/>
          <w:szCs w:val="24"/>
          <w:lang w:val="en-GB"/>
        </w:rPr>
      </w:pPr>
      <w:r w:rsidRPr="000E6FA4">
        <w:rPr>
          <w:rFonts w:ascii="Times New Roman" w:hAnsi="Times New Roman" w:cs="Times New Roman"/>
          <w:sz w:val="24"/>
          <w:szCs w:val="24"/>
          <w:lang w:val="en-GB"/>
        </w:rPr>
        <w:t>Section for STR analysis;</w:t>
      </w:r>
    </w:p>
    <w:p w:rsidR="001A7694" w:rsidRPr="000E6FA4" w:rsidRDefault="001A7694" w:rsidP="001A7694">
      <w:pPr>
        <w:pStyle w:val="ListParagraph"/>
        <w:numPr>
          <w:ilvl w:val="0"/>
          <w:numId w:val="6"/>
        </w:numPr>
        <w:tabs>
          <w:tab w:val="left" w:pos="709"/>
        </w:tabs>
        <w:spacing w:after="0" w:line="240" w:lineRule="auto"/>
        <w:rPr>
          <w:rFonts w:ascii="Times New Roman" w:hAnsi="Times New Roman" w:cs="Times New Roman"/>
          <w:sz w:val="24"/>
          <w:szCs w:val="24"/>
          <w:lang w:val="en-GB"/>
        </w:rPr>
      </w:pPr>
      <w:r w:rsidRPr="000E6FA4">
        <w:rPr>
          <w:rFonts w:ascii="Times New Roman" w:hAnsi="Times New Roman" w:cs="Times New Roman"/>
          <w:sz w:val="24"/>
          <w:szCs w:val="24"/>
          <w:lang w:val="en-GB"/>
        </w:rPr>
        <w:t>Section interagency cooperation;</w:t>
      </w:r>
    </w:p>
    <w:p w:rsidR="001A7694" w:rsidRPr="000E6FA4" w:rsidRDefault="001A7694" w:rsidP="001A7694">
      <w:pPr>
        <w:pStyle w:val="ListParagraph"/>
        <w:numPr>
          <w:ilvl w:val="0"/>
          <w:numId w:val="6"/>
        </w:numPr>
        <w:tabs>
          <w:tab w:val="left" w:pos="709"/>
        </w:tabs>
        <w:spacing w:after="0" w:line="240" w:lineRule="auto"/>
        <w:rPr>
          <w:rFonts w:ascii="Times New Roman" w:hAnsi="Times New Roman" w:cs="Times New Roman"/>
          <w:sz w:val="24"/>
          <w:szCs w:val="24"/>
          <w:lang w:val="en-GB"/>
        </w:rPr>
      </w:pPr>
      <w:r w:rsidRPr="000E6FA4">
        <w:rPr>
          <w:rFonts w:ascii="Times New Roman" w:hAnsi="Times New Roman" w:cs="Times New Roman"/>
          <w:sz w:val="24"/>
          <w:szCs w:val="24"/>
          <w:lang w:val="en-GB"/>
        </w:rPr>
        <w:t>Team for the prevention of the financing of terrorism</w:t>
      </w:r>
    </w:p>
    <w:p w:rsidR="001A7694" w:rsidRPr="000E6FA4" w:rsidRDefault="001A7694" w:rsidP="001A7694">
      <w:pPr>
        <w:pStyle w:val="ListParagraph"/>
        <w:numPr>
          <w:ilvl w:val="0"/>
          <w:numId w:val="6"/>
        </w:numPr>
        <w:tabs>
          <w:tab w:val="left" w:pos="709"/>
        </w:tabs>
        <w:spacing w:after="0" w:line="240" w:lineRule="auto"/>
        <w:rPr>
          <w:rFonts w:ascii="Times New Roman" w:hAnsi="Times New Roman" w:cs="Times New Roman"/>
          <w:sz w:val="24"/>
          <w:szCs w:val="24"/>
          <w:lang w:val="en-GB"/>
        </w:rPr>
      </w:pPr>
      <w:r w:rsidRPr="000E6FA4">
        <w:rPr>
          <w:rFonts w:ascii="Times New Roman" w:hAnsi="Times New Roman" w:cs="Times New Roman"/>
          <w:sz w:val="24"/>
          <w:szCs w:val="24"/>
          <w:lang w:val="en-GB"/>
        </w:rPr>
        <w:t>Team for pre-analysis.</w:t>
      </w:r>
    </w:p>
    <w:p w:rsidR="00B2555F" w:rsidRPr="000E6FA4" w:rsidRDefault="00B2555F" w:rsidP="00B2555F">
      <w:pPr>
        <w:spacing w:after="0" w:line="240" w:lineRule="auto"/>
        <w:jc w:val="both"/>
        <w:rPr>
          <w:rFonts w:ascii="Times New Roman" w:hAnsi="Times New Roman" w:cs="Times New Roman"/>
          <w:sz w:val="24"/>
          <w:szCs w:val="24"/>
          <w:lang w:val="en-GB"/>
        </w:rPr>
      </w:pPr>
    </w:p>
    <w:p w:rsidR="001A7694" w:rsidRPr="000E6FA4" w:rsidRDefault="001A7694" w:rsidP="00B2555F">
      <w:pPr>
        <w:spacing w:after="0"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The APML has the following internal organisational units outside the Sector:</w:t>
      </w:r>
    </w:p>
    <w:p w:rsidR="001A7694" w:rsidRPr="000E6FA4" w:rsidRDefault="001A7694" w:rsidP="001A7694">
      <w:pPr>
        <w:pStyle w:val="ListParagraph"/>
        <w:numPr>
          <w:ilvl w:val="0"/>
          <w:numId w:val="7"/>
        </w:numPr>
        <w:spacing w:after="0"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Team for legal affairs and harmonisation of legislation with international standards;</w:t>
      </w:r>
    </w:p>
    <w:p w:rsidR="001A7694" w:rsidRPr="000E6FA4" w:rsidRDefault="001A7694" w:rsidP="001A7694">
      <w:pPr>
        <w:pStyle w:val="ListParagraph"/>
        <w:numPr>
          <w:ilvl w:val="0"/>
          <w:numId w:val="7"/>
        </w:numPr>
        <w:spacing w:after="0"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Team for international cooperation, training and projects;</w:t>
      </w:r>
    </w:p>
    <w:p w:rsidR="001A7694" w:rsidRPr="000E6FA4" w:rsidRDefault="001A7694" w:rsidP="001A7694">
      <w:pPr>
        <w:pStyle w:val="ListParagraph"/>
        <w:numPr>
          <w:ilvl w:val="0"/>
          <w:numId w:val="7"/>
        </w:numPr>
        <w:spacing w:after="0"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Section for supervision</w:t>
      </w:r>
    </w:p>
    <w:p w:rsidR="001A7694" w:rsidRPr="000E6FA4" w:rsidRDefault="001A7694" w:rsidP="001A7694">
      <w:pPr>
        <w:pStyle w:val="ListParagraph"/>
        <w:numPr>
          <w:ilvl w:val="0"/>
          <w:numId w:val="7"/>
        </w:numPr>
        <w:spacing w:after="0"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Section for material, financial, IT, HR and general affairs;</w:t>
      </w:r>
    </w:p>
    <w:p w:rsidR="004611B3" w:rsidRDefault="001A7694" w:rsidP="001A7694">
      <w:pPr>
        <w:pStyle w:val="ListParagraph"/>
        <w:numPr>
          <w:ilvl w:val="0"/>
          <w:numId w:val="7"/>
        </w:numPr>
        <w:spacing w:after="0"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Team for the implementation of FATCA.</w:t>
      </w:r>
    </w:p>
    <w:p w:rsidR="001A7694" w:rsidRPr="000E6FA4" w:rsidRDefault="001A7694" w:rsidP="004611B3">
      <w:pPr>
        <w:pStyle w:val="ListParagraph"/>
        <w:spacing w:after="0" w:line="240" w:lineRule="auto"/>
        <w:jc w:val="both"/>
        <w:rPr>
          <w:rFonts w:ascii="Times New Roman" w:hAnsi="Times New Roman" w:cs="Times New Roman"/>
          <w:sz w:val="24"/>
          <w:szCs w:val="24"/>
          <w:lang w:val="en-GB"/>
        </w:rPr>
      </w:pPr>
    </w:p>
    <w:p w:rsidR="004611B3" w:rsidRDefault="001A7694" w:rsidP="004611B3">
      <w:pPr>
        <w:spacing w:after="0"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For tasks whose nature does not allow that they be classified in any internal unit, there is one position (independent officer) outside of all internal units.</w:t>
      </w:r>
    </w:p>
    <w:p w:rsidR="001A7694" w:rsidRPr="000E6FA4" w:rsidRDefault="001A7694" w:rsidP="00A46902">
      <w:pPr>
        <w:spacing w:after="0" w:line="240" w:lineRule="auto"/>
        <w:ind w:firstLine="360"/>
        <w:jc w:val="both"/>
        <w:rPr>
          <w:rFonts w:ascii="Times New Roman" w:hAnsi="Times New Roman" w:cs="Times New Roman"/>
          <w:sz w:val="24"/>
          <w:szCs w:val="24"/>
          <w:lang w:val="en-GB"/>
        </w:rPr>
      </w:pPr>
    </w:p>
    <w:p w:rsidR="002F269F" w:rsidRDefault="004611B3" w:rsidP="001A7694">
      <w:pPr>
        <w:spacing w:after="0" w:line="240" w:lineRule="auto"/>
        <w:jc w:val="both"/>
        <w:rPr>
          <w:rFonts w:ascii="Times New Roman" w:hAnsi="Times New Roman" w:cs="Times New Roman"/>
          <w:sz w:val="24"/>
          <w:szCs w:val="24"/>
          <w:lang w:val="en-GB"/>
        </w:rPr>
      </w:pPr>
      <w:r w:rsidRPr="000E6FA4">
        <w:rPr>
          <w:rFonts w:ascii="Times New Roman" w:hAnsi="Times New Roman" w:cs="Times New Roman"/>
          <w:sz w:val="24"/>
          <w:szCs w:val="24"/>
          <w:lang w:val="en-GB"/>
        </w:rPr>
        <w:t>Together</w:t>
      </w:r>
      <w:r w:rsidR="001A7694" w:rsidRPr="000E6FA4">
        <w:rPr>
          <w:rFonts w:ascii="Times New Roman" w:hAnsi="Times New Roman" w:cs="Times New Roman"/>
          <w:sz w:val="24"/>
          <w:szCs w:val="24"/>
          <w:lang w:val="en-GB"/>
        </w:rPr>
        <w:t xml:space="preserve"> with the position of acting director and assistant directors (one of which </w:t>
      </w:r>
      <w:r w:rsidR="00285A36">
        <w:rPr>
          <w:rFonts w:ascii="Times New Roman" w:hAnsi="Times New Roman" w:cs="Times New Roman"/>
          <w:sz w:val="24"/>
          <w:szCs w:val="24"/>
          <w:lang w:val="en-GB"/>
        </w:rPr>
        <w:t xml:space="preserve">has an </w:t>
      </w:r>
      <w:r w:rsidR="001A7694" w:rsidRPr="000E6FA4">
        <w:rPr>
          <w:rFonts w:ascii="Times New Roman" w:hAnsi="Times New Roman" w:cs="Times New Roman"/>
          <w:i/>
          <w:iCs/>
          <w:sz w:val="24"/>
          <w:szCs w:val="24"/>
          <w:lang w:val="en-GB"/>
        </w:rPr>
        <w:t>ad interim</w:t>
      </w:r>
      <w:r w:rsidR="00285A36">
        <w:rPr>
          <w:rFonts w:ascii="Times New Roman" w:hAnsi="Times New Roman" w:cs="Times New Roman"/>
          <w:i/>
          <w:iCs/>
          <w:sz w:val="24"/>
          <w:szCs w:val="24"/>
          <w:lang w:val="en-GB"/>
        </w:rPr>
        <w:t xml:space="preserve"> </w:t>
      </w:r>
      <w:r w:rsidR="001A7694" w:rsidRPr="000E6FA4">
        <w:rPr>
          <w:rFonts w:ascii="Times New Roman" w:hAnsi="Times New Roman" w:cs="Times New Roman"/>
          <w:sz w:val="24"/>
          <w:szCs w:val="24"/>
          <w:lang w:val="en-GB"/>
        </w:rPr>
        <w:t>status), who are appointed by the Government, the APML’s regulation (Rulebook) on the internal organisation and classification of jobs, provides for 34 posts to be filled with 42 civil servants.</w:t>
      </w:r>
      <w:r w:rsidR="001A7694" w:rsidRPr="000E6FA4">
        <w:rPr>
          <w:rFonts w:ascii="Times New Roman" w:hAnsi="Times New Roman" w:cs="Times New Roman"/>
          <w:sz w:val="24"/>
          <w:szCs w:val="24"/>
          <w:lang w:val="en-GB"/>
        </w:rPr>
        <w:br/>
      </w:r>
      <w:r w:rsidR="001A7694" w:rsidRPr="000E6FA4">
        <w:rPr>
          <w:rFonts w:ascii="Times New Roman" w:hAnsi="Times New Roman" w:cs="Times New Roman"/>
          <w:sz w:val="24"/>
          <w:szCs w:val="24"/>
          <w:lang w:val="en-GB"/>
        </w:rPr>
        <w:br/>
      </w:r>
      <w:r w:rsidR="00285A36">
        <w:rPr>
          <w:rFonts w:ascii="Times New Roman" w:hAnsi="Times New Roman" w:cs="Times New Roman"/>
          <w:sz w:val="24"/>
          <w:szCs w:val="24"/>
          <w:lang w:val="en-GB"/>
        </w:rPr>
        <w:t xml:space="preserve">Taking into account the </w:t>
      </w:r>
      <w:r w:rsidR="001A7694" w:rsidRPr="000E6FA4">
        <w:rPr>
          <w:rFonts w:ascii="Times New Roman" w:hAnsi="Times New Roman" w:cs="Times New Roman"/>
          <w:sz w:val="24"/>
          <w:szCs w:val="24"/>
          <w:lang w:val="en-GB"/>
        </w:rPr>
        <w:t xml:space="preserve">number of envisaged operational staff positions (42) and the number of staff actually employed - 28 (25 indefinite term contracts + 3 appointed staff + 1 leave of absence), </w:t>
      </w:r>
      <w:r w:rsidR="00285A36">
        <w:rPr>
          <w:rFonts w:ascii="Times New Roman" w:hAnsi="Times New Roman" w:cs="Times New Roman"/>
          <w:sz w:val="24"/>
          <w:szCs w:val="24"/>
          <w:lang w:val="en-GB"/>
        </w:rPr>
        <w:t xml:space="preserve">it can be said </w:t>
      </w:r>
      <w:r w:rsidR="001A7694" w:rsidRPr="000E6FA4">
        <w:rPr>
          <w:rFonts w:ascii="Times New Roman" w:hAnsi="Times New Roman" w:cs="Times New Roman"/>
          <w:sz w:val="24"/>
          <w:szCs w:val="24"/>
          <w:lang w:val="en-GB"/>
        </w:rPr>
        <w:t>that 66.67% of APML’s HR capacities were f</w:t>
      </w:r>
      <w:r>
        <w:rPr>
          <w:rFonts w:ascii="Times New Roman" w:hAnsi="Times New Roman" w:cs="Times New Roman"/>
          <w:sz w:val="24"/>
          <w:szCs w:val="24"/>
          <w:lang w:val="en-GB"/>
        </w:rPr>
        <w:t>illed as at the end of 2022.</w:t>
      </w:r>
      <w:r>
        <w:rPr>
          <w:rFonts w:ascii="Times New Roman" w:hAnsi="Times New Roman" w:cs="Times New Roman"/>
          <w:sz w:val="24"/>
          <w:szCs w:val="24"/>
          <w:lang w:val="en-GB"/>
        </w:rPr>
        <w:br/>
      </w:r>
      <w:r>
        <w:rPr>
          <w:rFonts w:ascii="Times New Roman" w:hAnsi="Times New Roman" w:cs="Times New Roman"/>
          <w:sz w:val="24"/>
          <w:szCs w:val="24"/>
          <w:lang w:val="en-GB"/>
        </w:rPr>
        <w:br/>
      </w:r>
      <w:r w:rsidR="00285A36">
        <w:rPr>
          <w:rFonts w:ascii="Times New Roman" w:hAnsi="Times New Roman" w:cs="Times New Roman"/>
          <w:sz w:val="24"/>
          <w:szCs w:val="24"/>
          <w:lang w:val="en-GB"/>
        </w:rPr>
        <w:t xml:space="preserve">Twenty-six </w:t>
      </w:r>
      <w:r w:rsidR="001A7694" w:rsidRPr="000E6FA4">
        <w:rPr>
          <w:rFonts w:ascii="Times New Roman" w:hAnsi="Times New Roman" w:cs="Times New Roman"/>
          <w:sz w:val="24"/>
          <w:szCs w:val="24"/>
          <w:lang w:val="en-GB"/>
        </w:rPr>
        <w:t xml:space="preserve">staff </w:t>
      </w:r>
      <w:r w:rsidR="00285A36">
        <w:rPr>
          <w:rFonts w:ascii="Times New Roman" w:hAnsi="Times New Roman" w:cs="Times New Roman"/>
          <w:sz w:val="24"/>
          <w:szCs w:val="24"/>
          <w:lang w:val="en-GB"/>
        </w:rPr>
        <w:t xml:space="preserve">has </w:t>
      </w:r>
      <w:r w:rsidR="002F269F">
        <w:rPr>
          <w:rFonts w:ascii="Times New Roman" w:hAnsi="Times New Roman" w:cs="Times New Roman"/>
          <w:sz w:val="24"/>
          <w:szCs w:val="24"/>
          <w:lang w:val="en-GB"/>
        </w:rPr>
        <w:t xml:space="preserve">a university degree and one staff has a </w:t>
      </w:r>
      <w:r w:rsidR="001A7694" w:rsidRPr="000E6FA4">
        <w:rPr>
          <w:rFonts w:ascii="Times New Roman" w:hAnsi="Times New Roman" w:cs="Times New Roman"/>
          <w:sz w:val="24"/>
          <w:szCs w:val="24"/>
          <w:lang w:val="en-GB"/>
        </w:rPr>
        <w:t xml:space="preserve">two-year post-secondary </w:t>
      </w:r>
      <w:r w:rsidR="002F269F">
        <w:rPr>
          <w:rFonts w:ascii="Times New Roman" w:hAnsi="Times New Roman" w:cs="Times New Roman"/>
          <w:sz w:val="24"/>
          <w:szCs w:val="24"/>
          <w:lang w:val="en-GB"/>
        </w:rPr>
        <w:t>qualification</w:t>
      </w:r>
      <w:r w:rsidR="001A7694" w:rsidRPr="000E6FA4">
        <w:rPr>
          <w:rFonts w:ascii="Times New Roman" w:hAnsi="Times New Roman" w:cs="Times New Roman"/>
          <w:sz w:val="24"/>
          <w:szCs w:val="24"/>
          <w:lang w:val="en-GB"/>
        </w:rPr>
        <w:t xml:space="preserve">, </w:t>
      </w:r>
      <w:r w:rsidR="002F269F">
        <w:rPr>
          <w:rFonts w:ascii="Times New Roman" w:hAnsi="Times New Roman" w:cs="Times New Roman"/>
          <w:sz w:val="24"/>
          <w:szCs w:val="24"/>
          <w:lang w:val="en-GB"/>
        </w:rPr>
        <w:t xml:space="preserve">so it can be said that </w:t>
      </w:r>
      <w:r w:rsidR="001A7694" w:rsidRPr="000E6FA4">
        <w:rPr>
          <w:rFonts w:ascii="Times New Roman" w:hAnsi="Times New Roman" w:cs="Times New Roman"/>
          <w:sz w:val="24"/>
          <w:szCs w:val="24"/>
          <w:lang w:val="en-GB"/>
        </w:rPr>
        <w:t>the qualification structure of the staff</w:t>
      </w:r>
      <w:r w:rsidR="00B8318F">
        <w:rPr>
          <w:rFonts w:ascii="Times New Roman" w:hAnsi="Times New Roman" w:cs="Times New Roman"/>
          <w:sz w:val="24"/>
          <w:szCs w:val="24"/>
          <w:lang w:val="en-GB"/>
        </w:rPr>
        <w:t xml:space="preserve"> is</w:t>
      </w:r>
      <w:r w:rsidR="001A7694" w:rsidRPr="000E6FA4">
        <w:rPr>
          <w:rFonts w:ascii="Times New Roman" w:hAnsi="Times New Roman" w:cs="Times New Roman"/>
          <w:sz w:val="24"/>
          <w:szCs w:val="24"/>
          <w:lang w:val="en-GB"/>
        </w:rPr>
        <w:t xml:space="preserve"> at a high level, i.e. 94.10% of the</w:t>
      </w:r>
      <w:r>
        <w:rPr>
          <w:rFonts w:ascii="Times New Roman" w:hAnsi="Times New Roman" w:cs="Times New Roman"/>
          <w:sz w:val="24"/>
          <w:szCs w:val="24"/>
          <w:lang w:val="en-GB"/>
        </w:rPr>
        <w:t xml:space="preserve"> sta</w:t>
      </w:r>
      <w:r w:rsidR="00B8318F">
        <w:rPr>
          <w:rFonts w:ascii="Times New Roman" w:hAnsi="Times New Roman" w:cs="Times New Roman"/>
          <w:sz w:val="24"/>
          <w:szCs w:val="24"/>
          <w:lang w:val="en-GB"/>
        </w:rPr>
        <w:t>ff has</w:t>
      </w:r>
      <w:r>
        <w:rPr>
          <w:rFonts w:ascii="Times New Roman" w:hAnsi="Times New Roman" w:cs="Times New Roman"/>
          <w:sz w:val="24"/>
          <w:szCs w:val="24"/>
          <w:lang w:val="en-GB"/>
        </w:rPr>
        <w:t xml:space="preserve"> a university degree.</w:t>
      </w:r>
    </w:p>
    <w:p w:rsidR="001A7694" w:rsidRPr="000E6FA4" w:rsidRDefault="001A7694" w:rsidP="001A7694">
      <w:pPr>
        <w:spacing w:after="0" w:line="240" w:lineRule="auto"/>
        <w:jc w:val="both"/>
        <w:rPr>
          <w:rFonts w:ascii="Times New Roman" w:hAnsi="Times New Roman" w:cs="Times New Roman"/>
          <w:sz w:val="24"/>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3680"/>
        <w:gridCol w:w="1163"/>
        <w:gridCol w:w="1939"/>
        <w:gridCol w:w="1180"/>
      </w:tblGrid>
      <w:tr w:rsidR="001A7694" w:rsidRPr="00783990" w:rsidTr="00783990">
        <w:trPr>
          <w:trHeight w:val="239"/>
          <w:jc w:val="center"/>
        </w:trPr>
        <w:tc>
          <w:tcPr>
            <w:tcW w:w="742" w:type="pct"/>
            <w:vMerge w:val="restart"/>
          </w:tcPr>
          <w:p w:rsidR="001A7694" w:rsidRPr="00783990" w:rsidRDefault="001A7694" w:rsidP="00783990">
            <w:pPr>
              <w:spacing w:after="0" w:line="240" w:lineRule="auto"/>
              <w:ind w:left="22"/>
              <w:jc w:val="center"/>
              <w:rPr>
                <w:rFonts w:ascii="Times New Roman" w:hAnsi="Times New Roman" w:cs="Times New Roman"/>
                <w:b/>
                <w:i/>
                <w:sz w:val="20"/>
                <w:szCs w:val="24"/>
                <w:lang w:val="en-GB"/>
              </w:rPr>
            </w:pPr>
            <w:r w:rsidRPr="00783990">
              <w:rPr>
                <w:rFonts w:ascii="Times New Roman" w:hAnsi="Times New Roman" w:cs="Times New Roman"/>
                <w:b/>
                <w:bCs/>
                <w:i/>
                <w:iCs/>
                <w:sz w:val="20"/>
                <w:szCs w:val="24"/>
                <w:lang w:val="en-GB"/>
              </w:rPr>
              <w:t>Year</w:t>
            </w:r>
          </w:p>
        </w:tc>
        <w:tc>
          <w:tcPr>
            <w:tcW w:w="1968" w:type="pct"/>
            <w:vMerge w:val="restart"/>
          </w:tcPr>
          <w:p w:rsidR="001A7694" w:rsidRPr="00783990" w:rsidRDefault="001A7694" w:rsidP="00783990">
            <w:pPr>
              <w:spacing w:after="0" w:line="240" w:lineRule="auto"/>
              <w:jc w:val="center"/>
              <w:rPr>
                <w:rFonts w:ascii="Times New Roman" w:hAnsi="Times New Roman" w:cs="Times New Roman"/>
                <w:b/>
                <w:i/>
                <w:sz w:val="20"/>
                <w:szCs w:val="24"/>
                <w:lang w:val="en-GB"/>
              </w:rPr>
            </w:pPr>
            <w:r w:rsidRPr="00783990">
              <w:rPr>
                <w:rFonts w:ascii="Times New Roman" w:hAnsi="Times New Roman" w:cs="Times New Roman"/>
                <w:b/>
                <w:bCs/>
                <w:i/>
                <w:iCs/>
                <w:sz w:val="20"/>
                <w:szCs w:val="24"/>
                <w:lang w:val="en-GB"/>
              </w:rPr>
              <w:t>Number of employees</w:t>
            </w:r>
          </w:p>
        </w:tc>
        <w:tc>
          <w:tcPr>
            <w:tcW w:w="2290" w:type="pct"/>
            <w:gridSpan w:val="3"/>
          </w:tcPr>
          <w:p w:rsidR="001A7694" w:rsidRPr="00783990" w:rsidRDefault="001A7694" w:rsidP="00783990">
            <w:pPr>
              <w:spacing w:after="0" w:line="240" w:lineRule="auto"/>
              <w:ind w:left="22"/>
              <w:jc w:val="center"/>
              <w:rPr>
                <w:rFonts w:ascii="Times New Roman" w:hAnsi="Times New Roman" w:cs="Times New Roman"/>
                <w:b/>
                <w:i/>
                <w:sz w:val="20"/>
                <w:szCs w:val="24"/>
                <w:lang w:val="en-GB"/>
              </w:rPr>
            </w:pPr>
            <w:r w:rsidRPr="00783990">
              <w:rPr>
                <w:rFonts w:ascii="Times New Roman" w:hAnsi="Times New Roman" w:cs="Times New Roman"/>
                <w:b/>
                <w:bCs/>
                <w:i/>
                <w:iCs/>
                <w:sz w:val="20"/>
                <w:szCs w:val="24"/>
                <w:lang w:val="en-GB"/>
              </w:rPr>
              <w:t>Qualification</w:t>
            </w:r>
          </w:p>
        </w:tc>
      </w:tr>
      <w:tr w:rsidR="001A7694" w:rsidRPr="00783990" w:rsidTr="00783990">
        <w:trPr>
          <w:trHeight w:val="514"/>
          <w:jc w:val="center"/>
        </w:trPr>
        <w:tc>
          <w:tcPr>
            <w:tcW w:w="742" w:type="pct"/>
            <w:vMerge/>
          </w:tcPr>
          <w:p w:rsidR="001A7694" w:rsidRPr="00783990" w:rsidRDefault="001A7694" w:rsidP="00783990">
            <w:pPr>
              <w:spacing w:after="0" w:line="240" w:lineRule="auto"/>
              <w:ind w:left="22"/>
              <w:rPr>
                <w:rFonts w:ascii="Times New Roman" w:hAnsi="Times New Roman" w:cs="Times New Roman"/>
                <w:sz w:val="20"/>
                <w:szCs w:val="24"/>
                <w:lang w:val="en-GB"/>
              </w:rPr>
            </w:pPr>
          </w:p>
        </w:tc>
        <w:tc>
          <w:tcPr>
            <w:tcW w:w="1968" w:type="pct"/>
            <w:vMerge/>
          </w:tcPr>
          <w:p w:rsidR="001A7694" w:rsidRPr="00783990" w:rsidRDefault="001A7694" w:rsidP="00783990">
            <w:pPr>
              <w:spacing w:after="0" w:line="240" w:lineRule="auto"/>
              <w:ind w:left="22"/>
              <w:rPr>
                <w:rFonts w:ascii="Times New Roman" w:hAnsi="Times New Roman" w:cs="Times New Roman"/>
                <w:sz w:val="20"/>
                <w:szCs w:val="24"/>
                <w:lang w:val="en-GB"/>
              </w:rPr>
            </w:pPr>
          </w:p>
        </w:tc>
        <w:tc>
          <w:tcPr>
            <w:tcW w:w="622" w:type="pct"/>
          </w:tcPr>
          <w:p w:rsidR="001A7694" w:rsidRPr="00783990" w:rsidRDefault="001A7694" w:rsidP="00783990">
            <w:pPr>
              <w:spacing w:after="0" w:line="240" w:lineRule="auto"/>
              <w:ind w:left="22"/>
              <w:rPr>
                <w:rFonts w:ascii="Times New Roman" w:hAnsi="Times New Roman" w:cs="Times New Roman"/>
                <w:i/>
                <w:sz w:val="20"/>
                <w:szCs w:val="24"/>
                <w:lang w:val="en-GB"/>
              </w:rPr>
            </w:pPr>
            <w:r w:rsidRPr="00783990">
              <w:rPr>
                <w:rFonts w:ascii="Times New Roman" w:hAnsi="Times New Roman" w:cs="Times New Roman"/>
                <w:i/>
                <w:iCs/>
                <w:sz w:val="20"/>
                <w:szCs w:val="24"/>
                <w:lang w:val="en-GB"/>
              </w:rPr>
              <w:t>higher</w:t>
            </w:r>
          </w:p>
        </w:tc>
        <w:tc>
          <w:tcPr>
            <w:tcW w:w="1037" w:type="pct"/>
          </w:tcPr>
          <w:p w:rsidR="001A7694" w:rsidRPr="00783990" w:rsidRDefault="001A7694" w:rsidP="00783990">
            <w:pPr>
              <w:spacing w:after="0" w:line="240" w:lineRule="auto"/>
              <w:ind w:left="22"/>
              <w:jc w:val="center"/>
              <w:rPr>
                <w:rFonts w:ascii="Times New Roman" w:hAnsi="Times New Roman" w:cs="Times New Roman"/>
                <w:i/>
                <w:sz w:val="20"/>
                <w:szCs w:val="24"/>
                <w:lang w:val="en-GB"/>
              </w:rPr>
            </w:pPr>
            <w:r w:rsidRPr="00783990">
              <w:rPr>
                <w:rFonts w:ascii="Times New Roman" w:hAnsi="Times New Roman" w:cs="Times New Roman"/>
                <w:i/>
                <w:iCs/>
                <w:sz w:val="20"/>
                <w:szCs w:val="24"/>
                <w:lang w:val="en-GB"/>
              </w:rPr>
              <w:t>2-year post-secondary</w:t>
            </w:r>
          </w:p>
        </w:tc>
        <w:tc>
          <w:tcPr>
            <w:tcW w:w="631" w:type="pct"/>
          </w:tcPr>
          <w:p w:rsidR="001A7694" w:rsidRPr="00783990" w:rsidRDefault="001A7694" w:rsidP="00783990">
            <w:pPr>
              <w:spacing w:after="0" w:line="240" w:lineRule="auto"/>
              <w:ind w:left="22"/>
              <w:rPr>
                <w:rFonts w:ascii="Times New Roman" w:hAnsi="Times New Roman" w:cs="Times New Roman"/>
                <w:i/>
                <w:sz w:val="20"/>
                <w:szCs w:val="24"/>
                <w:lang w:val="en-GB"/>
              </w:rPr>
            </w:pPr>
            <w:r w:rsidRPr="00783990">
              <w:rPr>
                <w:rFonts w:ascii="Times New Roman" w:hAnsi="Times New Roman" w:cs="Times New Roman"/>
                <w:i/>
                <w:iCs/>
                <w:sz w:val="20"/>
                <w:szCs w:val="24"/>
                <w:lang w:val="en-GB"/>
              </w:rPr>
              <w:t>secondary</w:t>
            </w:r>
          </w:p>
        </w:tc>
      </w:tr>
      <w:tr w:rsidR="00783990" w:rsidRPr="00783990" w:rsidTr="00783990">
        <w:trPr>
          <w:trHeight w:val="424"/>
          <w:jc w:val="center"/>
        </w:trPr>
        <w:tc>
          <w:tcPr>
            <w:tcW w:w="742" w:type="pct"/>
          </w:tcPr>
          <w:p w:rsidR="00783990" w:rsidRPr="00783990" w:rsidRDefault="00783990" w:rsidP="00783990">
            <w:pPr>
              <w:spacing w:after="0" w:line="240" w:lineRule="auto"/>
              <w:rPr>
                <w:rFonts w:ascii="Times New Roman" w:hAnsi="Times New Roman" w:cs="Times New Roman"/>
                <w:sz w:val="20"/>
                <w:szCs w:val="24"/>
                <w:lang w:val="en-GB"/>
              </w:rPr>
            </w:pPr>
            <w:r w:rsidRPr="00783990">
              <w:rPr>
                <w:rFonts w:ascii="Times New Roman" w:hAnsi="Times New Roman" w:cs="Times New Roman"/>
                <w:sz w:val="20"/>
                <w:szCs w:val="24"/>
                <w:lang w:val="en-GB"/>
              </w:rPr>
              <w:t xml:space="preserve">     2022</w:t>
            </w:r>
          </w:p>
        </w:tc>
        <w:tc>
          <w:tcPr>
            <w:tcW w:w="1968" w:type="pct"/>
          </w:tcPr>
          <w:p w:rsidR="00783990" w:rsidRPr="00783990" w:rsidRDefault="00783990" w:rsidP="00783990">
            <w:pPr>
              <w:spacing w:after="0" w:line="240" w:lineRule="auto"/>
              <w:ind w:left="22"/>
              <w:rPr>
                <w:rFonts w:ascii="Times New Roman" w:hAnsi="Times New Roman" w:cs="Times New Roman"/>
                <w:sz w:val="20"/>
                <w:szCs w:val="24"/>
                <w:lang w:val="en-GB"/>
              </w:rPr>
            </w:pPr>
            <w:r w:rsidRPr="00783990">
              <w:rPr>
                <w:rFonts w:ascii="Times New Roman" w:hAnsi="Times New Roman" w:cs="Times New Roman"/>
                <w:sz w:val="20"/>
                <w:szCs w:val="24"/>
                <w:lang w:val="en-GB"/>
              </w:rPr>
              <w:t>28 (25 + 3 appointed persons) and 1 leave of absence</w:t>
            </w:r>
          </w:p>
        </w:tc>
        <w:tc>
          <w:tcPr>
            <w:tcW w:w="622" w:type="pct"/>
          </w:tcPr>
          <w:p w:rsidR="00783990" w:rsidRPr="00783990" w:rsidRDefault="00783990" w:rsidP="00783990">
            <w:pPr>
              <w:spacing w:after="0" w:line="240" w:lineRule="auto"/>
              <w:rPr>
                <w:rFonts w:ascii="Times New Roman" w:hAnsi="Times New Roman" w:cs="Times New Roman"/>
                <w:sz w:val="20"/>
                <w:szCs w:val="24"/>
                <w:lang w:val="en-GB"/>
              </w:rPr>
            </w:pPr>
            <w:r w:rsidRPr="00783990">
              <w:rPr>
                <w:rFonts w:ascii="Times New Roman" w:hAnsi="Times New Roman" w:cs="Times New Roman"/>
                <w:sz w:val="20"/>
                <w:szCs w:val="24"/>
                <w:lang w:val="en-GB"/>
              </w:rPr>
              <w:t xml:space="preserve">    26</w:t>
            </w:r>
          </w:p>
        </w:tc>
        <w:tc>
          <w:tcPr>
            <w:tcW w:w="1037" w:type="pct"/>
          </w:tcPr>
          <w:p w:rsidR="00783990" w:rsidRPr="00783990" w:rsidRDefault="00783990" w:rsidP="00783990">
            <w:pPr>
              <w:spacing w:after="0" w:line="240" w:lineRule="auto"/>
              <w:ind w:left="22"/>
              <w:jc w:val="center"/>
              <w:rPr>
                <w:rFonts w:ascii="Times New Roman" w:hAnsi="Times New Roman" w:cs="Times New Roman"/>
                <w:sz w:val="20"/>
                <w:szCs w:val="24"/>
                <w:lang w:val="en-GB"/>
              </w:rPr>
            </w:pPr>
            <w:r w:rsidRPr="00783990">
              <w:rPr>
                <w:rFonts w:ascii="Times New Roman" w:hAnsi="Times New Roman" w:cs="Times New Roman"/>
                <w:sz w:val="20"/>
                <w:szCs w:val="24"/>
                <w:lang w:val="en-GB"/>
              </w:rPr>
              <w:t>1</w:t>
            </w:r>
          </w:p>
        </w:tc>
        <w:tc>
          <w:tcPr>
            <w:tcW w:w="631" w:type="pct"/>
          </w:tcPr>
          <w:p w:rsidR="00783990" w:rsidRPr="00783990" w:rsidRDefault="00783990" w:rsidP="00783990">
            <w:pPr>
              <w:spacing w:after="0" w:line="240" w:lineRule="auto"/>
              <w:ind w:left="22"/>
              <w:jc w:val="center"/>
              <w:rPr>
                <w:rFonts w:ascii="Times New Roman" w:hAnsi="Times New Roman" w:cs="Times New Roman"/>
                <w:sz w:val="20"/>
                <w:szCs w:val="24"/>
                <w:lang w:val="en-GB"/>
              </w:rPr>
            </w:pPr>
            <w:r w:rsidRPr="00783990">
              <w:rPr>
                <w:rFonts w:ascii="Times New Roman" w:hAnsi="Times New Roman" w:cs="Times New Roman"/>
                <w:sz w:val="20"/>
                <w:szCs w:val="24"/>
                <w:lang w:val="en-GB"/>
              </w:rPr>
              <w:t>1</w:t>
            </w:r>
          </w:p>
        </w:tc>
      </w:tr>
    </w:tbl>
    <w:p w:rsidR="001A0D32" w:rsidRPr="000E6FA4" w:rsidRDefault="001A0D32" w:rsidP="001A7694">
      <w:pPr>
        <w:jc w:val="both"/>
        <w:rPr>
          <w:rFonts w:ascii="Times New Roman" w:hAnsi="Times New Roman" w:cs="Times New Roman"/>
          <w:sz w:val="24"/>
          <w:szCs w:val="24"/>
          <w:lang w:val="en-GB"/>
        </w:rPr>
      </w:pPr>
    </w:p>
    <w:p w:rsidR="004611B3" w:rsidRDefault="005B3839" w:rsidP="001A769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While this qualification </w:t>
      </w:r>
      <w:r w:rsidR="001A7694" w:rsidRPr="000E6FA4">
        <w:rPr>
          <w:rFonts w:ascii="Times New Roman" w:hAnsi="Times New Roman" w:cs="Times New Roman"/>
          <w:sz w:val="24"/>
          <w:szCs w:val="24"/>
          <w:lang w:val="en-GB"/>
        </w:rPr>
        <w:t xml:space="preserve">structure </w:t>
      </w:r>
      <w:r>
        <w:rPr>
          <w:rFonts w:ascii="Times New Roman" w:hAnsi="Times New Roman" w:cs="Times New Roman"/>
          <w:sz w:val="24"/>
          <w:szCs w:val="24"/>
          <w:lang w:val="en-GB"/>
        </w:rPr>
        <w:t xml:space="preserve">responds to </w:t>
      </w:r>
      <w:r w:rsidR="001A7694" w:rsidRPr="000E6FA4">
        <w:rPr>
          <w:rFonts w:ascii="Times New Roman" w:hAnsi="Times New Roman" w:cs="Times New Roman"/>
          <w:sz w:val="24"/>
          <w:szCs w:val="24"/>
          <w:lang w:val="en-GB"/>
        </w:rPr>
        <w:t xml:space="preserve">the needs of a </w:t>
      </w:r>
      <w:r w:rsidR="001A7694" w:rsidRPr="004611B3">
        <w:rPr>
          <w:rFonts w:ascii="Times New Roman" w:hAnsi="Times New Roman" w:cs="Times New Roman"/>
          <w:sz w:val="24"/>
          <w:szCs w:val="24"/>
          <w:lang w:val="en-GB"/>
        </w:rPr>
        <w:t xml:space="preserve">financial intelligence unit, </w:t>
      </w:r>
      <w:r>
        <w:rPr>
          <w:rFonts w:ascii="Times New Roman" w:hAnsi="Times New Roman" w:cs="Times New Roman"/>
          <w:sz w:val="24"/>
          <w:szCs w:val="24"/>
          <w:lang w:val="en-GB"/>
        </w:rPr>
        <w:t xml:space="preserve">it also suggests that </w:t>
      </w:r>
      <w:r w:rsidR="001A7694" w:rsidRPr="004611B3">
        <w:rPr>
          <w:rFonts w:ascii="Times New Roman" w:hAnsi="Times New Roman" w:cs="Times New Roman"/>
          <w:sz w:val="24"/>
          <w:szCs w:val="24"/>
          <w:lang w:val="en-GB"/>
        </w:rPr>
        <w:t>the APML</w:t>
      </w:r>
      <w:r>
        <w:rPr>
          <w:rFonts w:ascii="Times New Roman" w:hAnsi="Times New Roman" w:cs="Times New Roman"/>
          <w:sz w:val="24"/>
          <w:szCs w:val="24"/>
          <w:lang w:val="en-GB"/>
        </w:rPr>
        <w:t xml:space="preserve">’s </w:t>
      </w:r>
      <w:r w:rsidR="001A7694" w:rsidRPr="004611B3">
        <w:rPr>
          <w:rFonts w:ascii="Times New Roman" w:hAnsi="Times New Roman" w:cs="Times New Roman"/>
          <w:sz w:val="24"/>
          <w:szCs w:val="24"/>
          <w:lang w:val="en-GB"/>
        </w:rPr>
        <w:t>human resources</w:t>
      </w:r>
      <w:r>
        <w:rPr>
          <w:rFonts w:ascii="Times New Roman" w:hAnsi="Times New Roman" w:cs="Times New Roman"/>
          <w:sz w:val="24"/>
          <w:szCs w:val="24"/>
          <w:lang w:val="en-GB"/>
        </w:rPr>
        <w:t xml:space="preserve"> are insufficient. This </w:t>
      </w:r>
      <w:r w:rsidR="001A7694" w:rsidRPr="004611B3">
        <w:rPr>
          <w:rFonts w:ascii="Times New Roman" w:hAnsi="Times New Roman" w:cs="Times New Roman"/>
          <w:sz w:val="24"/>
          <w:szCs w:val="24"/>
          <w:lang w:val="en-GB"/>
        </w:rPr>
        <w:t>is why in 2022 the APML recruited 5 additional staff under a temporary/part time contract and 2 staff members on additional work contract.</w:t>
      </w:r>
    </w:p>
    <w:p w:rsidR="00EC36EB" w:rsidRPr="004611B3" w:rsidRDefault="004A4313" w:rsidP="00EC36EB">
      <w:pPr>
        <w:pStyle w:val="Heading1"/>
        <w:rPr>
          <w:rFonts w:cs="Times New Roman"/>
          <w:lang w:val="en-GB"/>
        </w:rPr>
      </w:pPr>
      <w:bookmarkStart w:id="43" w:name="_Toc179546489"/>
      <w:r w:rsidRPr="004611B3">
        <w:rPr>
          <w:rFonts w:cs="Times New Roman"/>
          <w:bCs/>
          <w:lang w:val="en-GB"/>
        </w:rPr>
        <w:t>GENERAL, MATERIAL AND FINANCIAL OPERATIONS</w:t>
      </w:r>
      <w:bookmarkEnd w:id="43"/>
    </w:p>
    <w:p w:rsidR="00EC36EB" w:rsidRPr="004611B3" w:rsidRDefault="00EC36EB" w:rsidP="00EC36EB">
      <w:pPr>
        <w:rPr>
          <w:rFonts w:ascii="Times New Roman" w:hAnsi="Times New Roman" w:cs="Times New Roman"/>
          <w:lang w:val="en-GB"/>
        </w:rPr>
      </w:pPr>
    </w:p>
    <w:p w:rsidR="00C83D40" w:rsidRPr="00287427" w:rsidRDefault="00C83D40" w:rsidP="00287427">
      <w:pPr>
        <w:spacing w:line="240" w:lineRule="auto"/>
        <w:jc w:val="both"/>
        <w:rPr>
          <w:rFonts w:ascii="Times New Roman" w:hAnsi="Times New Roman" w:cs="Times New Roman"/>
          <w:sz w:val="24"/>
          <w:szCs w:val="24"/>
          <w:lang w:val="en-GB"/>
        </w:rPr>
      </w:pPr>
      <w:r w:rsidRPr="00287427">
        <w:rPr>
          <w:rFonts w:ascii="Times New Roman" w:hAnsi="Times New Roman" w:cs="Times New Roman"/>
          <w:color w:val="000000"/>
          <w:sz w:val="24"/>
          <w:szCs w:val="24"/>
          <w:lang w:val="en-GB"/>
        </w:rPr>
        <w:t xml:space="preserve">The 2022 Budget Law allocated a total of RSD </w:t>
      </w:r>
      <w:r w:rsidRPr="00287427">
        <w:rPr>
          <w:rFonts w:ascii="Times New Roman" w:hAnsi="Times New Roman" w:cs="Times New Roman"/>
          <w:sz w:val="24"/>
          <w:szCs w:val="24"/>
          <w:lang w:val="en-GB"/>
        </w:rPr>
        <w:t>183 999 000 for APML operations to be financed by the Republic of Serbia budget.</w:t>
      </w:r>
      <w:r w:rsidR="004611B3" w:rsidRPr="00287427">
        <w:rPr>
          <w:rFonts w:ascii="Times New Roman" w:hAnsi="Times New Roman" w:cs="Times New Roman"/>
          <w:sz w:val="24"/>
          <w:szCs w:val="24"/>
          <w:lang w:val="en-GB"/>
        </w:rPr>
        <w:t xml:space="preserve"> </w:t>
      </w:r>
      <w:r w:rsidRPr="00287427">
        <w:rPr>
          <w:rFonts w:ascii="Times New Roman" w:hAnsi="Times New Roman" w:cs="Times New Roman"/>
          <w:sz w:val="24"/>
          <w:szCs w:val="24"/>
          <w:lang w:val="en-GB"/>
        </w:rPr>
        <w:t xml:space="preserve">The level of execution of the current expenditure totals RSD </w:t>
      </w:r>
      <w:r w:rsidRPr="00287427">
        <w:rPr>
          <w:rFonts w:ascii="Times New Roman" w:hAnsi="Times New Roman" w:cs="Times New Roman"/>
          <w:sz w:val="24"/>
          <w:szCs w:val="24"/>
          <w:lang w:val="en-GB"/>
        </w:rPr>
        <w:lastRenderedPageBreak/>
        <w:t>179 099.830</w:t>
      </w:r>
      <w:r w:rsidRPr="00287427">
        <w:rPr>
          <w:rFonts w:ascii="Times New Roman" w:hAnsi="Times New Roman" w:cs="Times New Roman"/>
          <w:color w:val="FF0000"/>
          <w:sz w:val="24"/>
          <w:szCs w:val="24"/>
          <w:lang w:val="en-GB"/>
        </w:rPr>
        <w:t xml:space="preserve"> </w:t>
      </w:r>
      <w:r w:rsidRPr="00287427">
        <w:rPr>
          <w:rFonts w:ascii="Times New Roman" w:hAnsi="Times New Roman" w:cs="Times New Roman"/>
          <w:sz w:val="24"/>
          <w:szCs w:val="24"/>
          <w:lang w:val="en-GB"/>
        </w:rPr>
        <w:t xml:space="preserve"> The use of the budget funds in 2022, in percentages, amounted at 97.34% (</w:t>
      </w:r>
      <w:r w:rsidR="00287427">
        <w:rPr>
          <w:rFonts w:ascii="Times New Roman" w:hAnsi="Times New Roman" w:cs="Times New Roman"/>
          <w:sz w:val="24"/>
          <w:szCs w:val="24"/>
          <w:lang w:val="en-GB"/>
        </w:rPr>
        <w:t>C</w:t>
      </w:r>
      <w:r w:rsidRPr="00287427">
        <w:rPr>
          <w:rFonts w:ascii="Times New Roman" w:hAnsi="Times New Roman" w:cs="Times New Roman"/>
          <w:sz w:val="24"/>
          <w:szCs w:val="24"/>
          <w:lang w:val="en-GB"/>
        </w:rPr>
        <w:t>hart 1) even though the other appropriations do not show any major discrepancies between the funds allocated and those executed.</w:t>
      </w:r>
    </w:p>
    <w:p w:rsidR="00C83D40" w:rsidRPr="000E6FA4" w:rsidRDefault="00C83D40" w:rsidP="00C83D40">
      <w:pPr>
        <w:spacing w:line="240" w:lineRule="auto"/>
        <w:ind w:firstLine="720"/>
        <w:jc w:val="center"/>
        <w:rPr>
          <w:rFonts w:ascii="Times New Roman" w:hAnsi="Times New Roman"/>
          <w:sz w:val="24"/>
          <w:lang w:val="en-GB"/>
        </w:rPr>
      </w:pPr>
      <w:r w:rsidRPr="000E6FA4">
        <w:rPr>
          <w:noProof/>
        </w:rPr>
        <w:drawing>
          <wp:inline distT="0" distB="0" distL="0" distR="0" wp14:anchorId="66470958" wp14:editId="4E3E5361">
            <wp:extent cx="3609975" cy="19907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3D40" w:rsidRPr="00783990" w:rsidRDefault="00287427" w:rsidP="00783990">
      <w:pPr>
        <w:spacing w:line="240" w:lineRule="auto"/>
        <w:ind w:firstLine="720"/>
        <w:jc w:val="center"/>
        <w:rPr>
          <w:rFonts w:ascii="Times New Roman" w:hAnsi="Times New Roman"/>
          <w:sz w:val="14"/>
          <w:szCs w:val="18"/>
          <w:lang w:val="en-GB"/>
        </w:rPr>
      </w:pPr>
      <w:r w:rsidRPr="00783990">
        <w:rPr>
          <w:rFonts w:ascii="Times New Roman" w:hAnsi="Times New Roman"/>
          <w:sz w:val="20"/>
          <w:lang w:val="en-GB"/>
        </w:rPr>
        <w:t>Chart</w:t>
      </w:r>
      <w:r w:rsidR="00C83D40" w:rsidRPr="00783990">
        <w:rPr>
          <w:rFonts w:ascii="Times New Roman" w:hAnsi="Times New Roman"/>
          <w:sz w:val="20"/>
          <w:lang w:val="en-GB"/>
        </w:rPr>
        <w:t xml:space="preserve"> 1. Comparative overview of APML budget use for 2021-2022</w:t>
      </w:r>
    </w:p>
    <w:p w:rsidR="00F978C1" w:rsidRPr="000E6FA4" w:rsidRDefault="00BF0FB6" w:rsidP="00287427">
      <w:pPr>
        <w:pStyle w:val="NoSpacing"/>
        <w:jc w:val="both"/>
        <w:rPr>
          <w:rFonts w:ascii="Times New Roman" w:hAnsi="Times New Roman"/>
          <w:sz w:val="24"/>
          <w:lang w:val="en-GB"/>
        </w:rPr>
      </w:pPr>
      <w:r w:rsidRPr="000E6FA4">
        <w:rPr>
          <w:rFonts w:ascii="Times New Roman" w:hAnsi="Times New Roman"/>
          <w:sz w:val="24"/>
          <w:lang w:val="en-GB"/>
        </w:rPr>
        <w:t>In 2022, the Section provided support for smooth operation of the APML in line with the AML/CFT Law by prioritising financial activities, planning expenditures, implementing the planned procurement of goods and services in line with the Public Procurement Law and by ongoing control of the compliance and legality of documentation supporting the budget execution.</w:t>
      </w:r>
    </w:p>
    <w:p w:rsidR="00287427" w:rsidRDefault="00287427" w:rsidP="00287427">
      <w:pPr>
        <w:spacing w:line="240" w:lineRule="auto"/>
        <w:jc w:val="both"/>
        <w:rPr>
          <w:rFonts w:ascii="Times New Roman" w:hAnsi="Times New Roman"/>
          <w:sz w:val="24"/>
          <w:lang w:val="en-GB"/>
        </w:rPr>
      </w:pPr>
    </w:p>
    <w:p w:rsidR="00F978C1" w:rsidRPr="000E6FA4" w:rsidRDefault="00BF0FB6" w:rsidP="00287427">
      <w:pPr>
        <w:spacing w:line="240" w:lineRule="auto"/>
        <w:jc w:val="both"/>
        <w:rPr>
          <w:rFonts w:ascii="Times New Roman" w:hAnsi="Times New Roman"/>
          <w:sz w:val="24"/>
          <w:lang w:val="en-GB"/>
        </w:rPr>
      </w:pPr>
      <w:r w:rsidRPr="000E6FA4">
        <w:rPr>
          <w:rFonts w:ascii="Times New Roman" w:hAnsi="Times New Roman"/>
          <w:sz w:val="24"/>
          <w:lang w:val="en-GB"/>
        </w:rPr>
        <w:t>In its business processes, the Section applies more than 40 laws, rulebooks, decisions, guidelines and other documents on which it regularly reports to the Ministry of Finance, Public Procurement Administration and other authorities.</w:t>
      </w:r>
    </w:p>
    <w:p w:rsidR="00BF0FB6" w:rsidRPr="000E6FA4" w:rsidRDefault="00BF0FB6" w:rsidP="00287427">
      <w:pPr>
        <w:spacing w:line="240" w:lineRule="auto"/>
        <w:jc w:val="both"/>
        <w:rPr>
          <w:rFonts w:ascii="Times New Roman" w:hAnsi="Times New Roman"/>
          <w:sz w:val="24"/>
          <w:lang w:val="en-GB"/>
        </w:rPr>
      </w:pPr>
      <w:r w:rsidRPr="000E6FA4">
        <w:rPr>
          <w:rFonts w:ascii="Times New Roman" w:hAnsi="Times New Roman"/>
          <w:sz w:val="24"/>
          <w:lang w:val="en-GB"/>
        </w:rPr>
        <w:t xml:space="preserve">For the execution of payment orders, exchange of financial data and following of statutory provisions related to public procurement, the APML’s financial staff use fifteen specific software applications ensuring direct connection to other state authorities thereby networking the APML directly into the Finance Ministry’s IT system.  The Section uses all active applications enabling direct connection between the APML and other authorities concerning materiel and financial affairs in line with the Budget Accounting Decree and international accounting standards for the public sector. </w:t>
      </w:r>
    </w:p>
    <w:p w:rsidR="00BF0FB6" w:rsidRPr="000E6FA4" w:rsidRDefault="00BF0FB6" w:rsidP="00BF0FB6">
      <w:pPr>
        <w:tabs>
          <w:tab w:val="left" w:pos="0"/>
        </w:tabs>
        <w:jc w:val="both"/>
        <w:rPr>
          <w:rFonts w:ascii="Times New Roman" w:hAnsi="Times New Roman"/>
          <w:sz w:val="24"/>
          <w:lang w:val="en-GB"/>
        </w:rPr>
      </w:pPr>
      <w:r w:rsidRPr="000E6FA4">
        <w:rPr>
          <w:rFonts w:ascii="Times New Roman" w:hAnsi="Times New Roman"/>
          <w:sz w:val="24"/>
          <w:lang w:val="en-GB"/>
        </w:rPr>
        <w:t>The Section staff were engaged in tasks such as drafting of general legal acts, specific employment-related acts, maintaining personnel records, entering of data in the Central Personnel Records. In addition, the Section creates and keeps personnel, statistical and other records related to its remit of responsibility, and performs other operational and technical tasks ensuring efficiency and consistency of staff work.</w:t>
      </w:r>
    </w:p>
    <w:p w:rsidR="00287427" w:rsidRDefault="00287427">
      <w:pPr>
        <w:rPr>
          <w:rFonts w:ascii="Times New Roman" w:eastAsiaTheme="majorEastAsia" w:hAnsi="Times New Roman" w:cstheme="majorBidi"/>
          <w:b/>
          <w:bCs/>
          <w:sz w:val="26"/>
          <w:szCs w:val="26"/>
          <w:lang w:val="en-GB"/>
        </w:rPr>
      </w:pPr>
      <w:r>
        <w:rPr>
          <w:bCs/>
          <w:lang w:val="en-GB"/>
        </w:rPr>
        <w:br w:type="page"/>
      </w:r>
    </w:p>
    <w:p w:rsidR="00C83D40" w:rsidRPr="000E6FA4" w:rsidRDefault="00AF71B5" w:rsidP="00BB1174">
      <w:pPr>
        <w:pStyle w:val="Heading2"/>
        <w:rPr>
          <w:lang w:val="en-GB"/>
        </w:rPr>
      </w:pPr>
      <w:bookmarkStart w:id="44" w:name="_Toc179546490"/>
      <w:r w:rsidRPr="000E6FA4">
        <w:rPr>
          <w:bCs/>
          <w:lang w:val="en-GB"/>
        </w:rPr>
        <w:lastRenderedPageBreak/>
        <w:t xml:space="preserve">ANNEX 1: </w:t>
      </w:r>
      <w:r w:rsidRPr="000E6FA4">
        <w:rPr>
          <w:b w:val="0"/>
          <w:lang w:val="en-GB"/>
        </w:rPr>
        <w:t xml:space="preserve"> </w:t>
      </w:r>
      <w:r w:rsidRPr="000E6FA4">
        <w:rPr>
          <w:bCs/>
          <w:lang w:val="en-GB"/>
        </w:rPr>
        <w:t>TRAINING EVENTS ATTENDED BY APML STAFF (AUDIENCE AND/OR PRESENTER</w:t>
      </w:r>
      <w:r w:rsidR="00E265B4">
        <w:rPr>
          <w:bCs/>
          <w:lang w:val="en-GB"/>
        </w:rPr>
        <w:t>S</w:t>
      </w:r>
      <w:r w:rsidRPr="000E6FA4">
        <w:rPr>
          <w:bCs/>
          <w:lang w:val="en-GB"/>
        </w:rPr>
        <w:t>)</w:t>
      </w:r>
      <w:bookmarkEnd w:id="44"/>
    </w:p>
    <w:p w:rsidR="00543629" w:rsidRPr="000E6FA4" w:rsidRDefault="00543629" w:rsidP="00A5325D">
      <w:pPr>
        <w:spacing w:line="240" w:lineRule="auto"/>
        <w:jc w:val="both"/>
        <w:rPr>
          <w:rFonts w:ascii="Times New Roman" w:hAnsi="Times New Roman" w:cs="Times New Roman"/>
          <w:b/>
          <w:sz w:val="24"/>
          <w:szCs w:val="24"/>
          <w:lang w:val="en-GB"/>
        </w:rPr>
      </w:pPr>
    </w:p>
    <w:tbl>
      <w:tblPr>
        <w:tblStyle w:val="TableGrid"/>
        <w:tblW w:w="0" w:type="auto"/>
        <w:jc w:val="center"/>
        <w:tblLook w:val="04A0" w:firstRow="1" w:lastRow="0" w:firstColumn="1" w:lastColumn="0" w:noHBand="0" w:noVBand="1"/>
      </w:tblPr>
      <w:tblGrid>
        <w:gridCol w:w="1271"/>
        <w:gridCol w:w="3402"/>
        <w:gridCol w:w="2268"/>
        <w:gridCol w:w="2409"/>
      </w:tblGrid>
      <w:tr w:rsidR="00BB1174" w:rsidRPr="000E6FA4" w:rsidTr="00287427">
        <w:trPr>
          <w:jc w:val="center"/>
        </w:trPr>
        <w:tc>
          <w:tcPr>
            <w:tcW w:w="1271" w:type="dxa"/>
          </w:tcPr>
          <w:p w:rsidR="00BB1174" w:rsidRPr="000E6FA4" w:rsidRDefault="00BB1174" w:rsidP="00287427">
            <w:pPr>
              <w:jc w:val="center"/>
              <w:rPr>
                <w:rFonts w:ascii="Times New Roman" w:hAnsi="Times New Roman" w:cs="Times New Roman"/>
                <w:b/>
                <w:lang w:val="en-GB"/>
              </w:rPr>
            </w:pPr>
            <w:r w:rsidRPr="000E6FA4">
              <w:rPr>
                <w:rFonts w:ascii="Times New Roman" w:hAnsi="Times New Roman" w:cs="Times New Roman"/>
                <w:b/>
                <w:bCs/>
                <w:lang w:val="en-GB"/>
              </w:rPr>
              <w:t>NUMBER</w:t>
            </w:r>
          </w:p>
        </w:tc>
        <w:tc>
          <w:tcPr>
            <w:tcW w:w="3402" w:type="dxa"/>
          </w:tcPr>
          <w:p w:rsidR="00BB1174" w:rsidRPr="000E6FA4" w:rsidRDefault="00BB1174" w:rsidP="00287427">
            <w:pPr>
              <w:jc w:val="center"/>
              <w:rPr>
                <w:rFonts w:ascii="Times New Roman" w:hAnsi="Times New Roman" w:cs="Times New Roman"/>
                <w:b/>
                <w:lang w:val="en-GB"/>
              </w:rPr>
            </w:pPr>
            <w:r w:rsidRPr="000E6FA4">
              <w:rPr>
                <w:rFonts w:ascii="Times New Roman" w:hAnsi="Times New Roman" w:cs="Times New Roman"/>
                <w:b/>
                <w:bCs/>
                <w:lang w:val="en-GB"/>
              </w:rPr>
              <w:t>EVENT TITLE (TOPIC)</w:t>
            </w:r>
          </w:p>
        </w:tc>
        <w:tc>
          <w:tcPr>
            <w:tcW w:w="2268" w:type="dxa"/>
          </w:tcPr>
          <w:p w:rsidR="00BB1174" w:rsidRPr="000E6FA4" w:rsidRDefault="00BB1174" w:rsidP="00287427">
            <w:pPr>
              <w:jc w:val="center"/>
              <w:rPr>
                <w:rFonts w:ascii="Times New Roman" w:hAnsi="Times New Roman" w:cs="Times New Roman"/>
                <w:b/>
                <w:lang w:val="en-GB"/>
              </w:rPr>
            </w:pPr>
            <w:r w:rsidRPr="000E6FA4">
              <w:rPr>
                <w:rFonts w:ascii="Times New Roman" w:hAnsi="Times New Roman" w:cs="Times New Roman"/>
                <w:b/>
                <w:bCs/>
                <w:lang w:val="en-GB"/>
              </w:rPr>
              <w:t>DATE AND VENUE</w:t>
            </w:r>
          </w:p>
        </w:tc>
        <w:tc>
          <w:tcPr>
            <w:tcW w:w="2409" w:type="dxa"/>
          </w:tcPr>
          <w:p w:rsidR="00BB1174" w:rsidRPr="000E6FA4" w:rsidRDefault="00BB1174" w:rsidP="00287427">
            <w:pPr>
              <w:jc w:val="center"/>
              <w:rPr>
                <w:rFonts w:ascii="Times New Roman" w:hAnsi="Times New Roman" w:cs="Times New Roman"/>
                <w:b/>
                <w:lang w:val="en-GB"/>
              </w:rPr>
            </w:pPr>
            <w:r w:rsidRPr="000E6FA4">
              <w:rPr>
                <w:rFonts w:ascii="Times New Roman" w:hAnsi="Times New Roman" w:cs="Times New Roman"/>
                <w:b/>
                <w:bCs/>
                <w:lang w:val="en-GB"/>
              </w:rPr>
              <w:t>ORGANISER</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Financial analysis using Excel</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21.1.2022, online</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Basel Institute on Governance</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OSINT</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28.1.2022, online</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Basel Institute on Governance</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Financial investigations, virtual currencies and </w:t>
            </w:r>
            <w:proofErr w:type="spellStart"/>
            <w:r w:rsidRPr="00287427">
              <w:rPr>
                <w:rFonts w:ascii="Times New Roman" w:hAnsi="Times New Roman" w:cs="Times New Roman"/>
                <w:i/>
                <w:lang w:val="en-GB"/>
              </w:rPr>
              <w:t>darknet</w:t>
            </w:r>
            <w:proofErr w:type="spellEnd"/>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22-24.2.2022, online, </w:t>
            </w:r>
          </w:p>
        </w:tc>
        <w:tc>
          <w:tcPr>
            <w:tcW w:w="2409" w:type="dxa"/>
          </w:tcPr>
          <w:p w:rsidR="00BB1174" w:rsidRPr="000E6FA4" w:rsidRDefault="00BB1174" w:rsidP="00287427">
            <w:pPr>
              <w:jc w:val="left"/>
              <w:rPr>
                <w:rFonts w:ascii="Times New Roman" w:hAnsi="Times New Roman" w:cs="Times New Roman"/>
                <w:lang w:val="en-GB"/>
              </w:rPr>
            </w:pPr>
            <w:proofErr w:type="spellStart"/>
            <w:r w:rsidRPr="000E6FA4">
              <w:rPr>
                <w:rFonts w:ascii="Times New Roman" w:hAnsi="Times New Roman" w:cs="Times New Roman"/>
                <w:lang w:val="en-GB"/>
              </w:rPr>
              <w:t>iProceeds</w:t>
            </w:r>
            <w:proofErr w:type="spellEnd"/>
            <w:r w:rsidRPr="000E6FA4">
              <w:rPr>
                <w:rFonts w:ascii="Times New Roman" w:hAnsi="Times New Roman" w:cs="Times New Roman"/>
                <w:lang w:val="en-GB"/>
              </w:rPr>
              <w:t xml:space="preserve"> Project </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International webinar on beneficial ownership</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15-16.3.2022, online,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Egmont Group - ECOFEL</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Sanctions and CDD - New global risk assessment frameworks </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15-17.3.2022, Novi Sad</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US Embassy, Belgrade</w:t>
            </w:r>
          </w:p>
        </w:tc>
      </w:tr>
      <w:tr w:rsidR="00BB1174" w:rsidRPr="000E6FA4" w:rsidTr="00287427">
        <w:trPr>
          <w:trHeight w:val="502"/>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VAT fraud</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15-18.3.2022,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USAID, OSCE and Judicial Academy</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Criminal intelligence analysis</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4-8.4.2022, Budapest, </w:t>
            </w:r>
            <w:r w:rsidR="00287427">
              <w:rPr>
                <w:rFonts w:ascii="Times New Roman" w:hAnsi="Times New Roman" w:cs="Times New Roman"/>
                <w:lang w:val="en-GB"/>
              </w:rPr>
              <w:t>Hungary</w:t>
            </w:r>
          </w:p>
        </w:tc>
        <w:tc>
          <w:tcPr>
            <w:tcW w:w="2409"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CEPOL</w:t>
            </w:r>
          </w:p>
          <w:p w:rsidR="00BB1174" w:rsidRPr="000E6FA4" w:rsidRDefault="00BB1174" w:rsidP="00287427">
            <w:pPr>
              <w:pStyle w:val="ListParagraph"/>
              <w:ind w:left="0"/>
              <w:jc w:val="left"/>
              <w:rPr>
                <w:rFonts w:ascii="Times New Roman" w:hAnsi="Times New Roman" w:cs="Times New Roman"/>
                <w:lang w:val="en-GB"/>
              </w:rPr>
            </w:pP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Analysis of the system for seizure/confiscation of proceeds from crime in Serbia</w:t>
            </w:r>
          </w:p>
          <w:p w:rsidR="00BB1174" w:rsidRPr="00287427" w:rsidRDefault="00BB1174" w:rsidP="00287427">
            <w:pPr>
              <w:jc w:val="left"/>
              <w:rPr>
                <w:rFonts w:ascii="Times New Roman" w:hAnsi="Times New Roman" w:cs="Times New Roman"/>
                <w:lang w:val="en-GB"/>
              </w:rPr>
            </w:pP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7.4.2022, online</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AML/CFT Project in Serbia (Council of Europe, SIDA)</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CAMS training</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As of March 2022, online</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GIZ Albania </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CAMS training</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February - June 2022, Belgrade</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US Embassy, Belgrade</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CFE training</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February - June 2022, Belgrade</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US Embassy, Belgrade</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Preparatory meeting of the working group for training of authorities on AML</w:t>
            </w:r>
          </w:p>
        </w:tc>
        <w:tc>
          <w:tcPr>
            <w:tcW w:w="2268" w:type="dxa"/>
          </w:tcPr>
          <w:p w:rsidR="00BB1174" w:rsidRPr="000E6FA4" w:rsidRDefault="00BB1174" w:rsidP="00287427">
            <w:pPr>
              <w:jc w:val="left"/>
              <w:rPr>
                <w:rFonts w:ascii="Times New Roman" w:hAnsi="Times New Roman" w:cs="Times New Roman"/>
                <w:lang w:val="en-GB"/>
              </w:rPr>
            </w:pPr>
          </w:p>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9-11.5.2022. </w:t>
            </w:r>
            <w:proofErr w:type="spellStart"/>
            <w:r w:rsidRPr="000E6FA4">
              <w:rPr>
                <w:rFonts w:ascii="Times New Roman" w:hAnsi="Times New Roman" w:cs="Times New Roman"/>
                <w:lang w:val="en-GB"/>
              </w:rPr>
              <w:t>Vrdnik</w:t>
            </w:r>
            <w:proofErr w:type="spellEnd"/>
            <w:r w:rsidRPr="000E6FA4">
              <w:rPr>
                <w:rFonts w:ascii="Times New Roman" w:hAnsi="Times New Roman" w:cs="Times New Roman"/>
                <w:lang w:val="en-GB"/>
              </w:rPr>
              <w:t xml:space="preserve"> </w:t>
            </w:r>
          </w:p>
        </w:tc>
        <w:tc>
          <w:tcPr>
            <w:tcW w:w="2409"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OSCE, US OPDAT, Judicial Academy</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National Criminal Intelligence System Implementation</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11-13.5.2022, </w:t>
            </w:r>
            <w:proofErr w:type="spellStart"/>
            <w:r w:rsidRPr="000E6FA4">
              <w:rPr>
                <w:rFonts w:ascii="Times New Roman" w:hAnsi="Times New Roman" w:cs="Times New Roman"/>
                <w:lang w:val="en-GB"/>
              </w:rPr>
              <w:t>Šabac</w:t>
            </w:r>
            <w:proofErr w:type="spellEnd"/>
            <w:r w:rsidRPr="000E6FA4">
              <w:rPr>
                <w:rFonts w:ascii="Times New Roman" w:hAnsi="Times New Roman" w:cs="Times New Roman"/>
                <w:lang w:val="en-GB"/>
              </w:rPr>
              <w:t xml:space="preserve"> </w:t>
            </w:r>
          </w:p>
        </w:tc>
        <w:tc>
          <w:tcPr>
            <w:tcW w:w="2409"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 xml:space="preserve">MOI </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Annual consultations - Banking compliance function</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26.5.2022, </w:t>
            </w:r>
            <w:proofErr w:type="spellStart"/>
            <w:r w:rsidRPr="000E6FA4">
              <w:rPr>
                <w:rFonts w:ascii="Times New Roman" w:hAnsi="Times New Roman" w:cs="Times New Roman"/>
                <w:lang w:val="en-GB"/>
              </w:rPr>
              <w:t>Vrnjačka</w:t>
            </w:r>
            <w:proofErr w:type="spellEnd"/>
            <w:r w:rsidRPr="000E6FA4">
              <w:rPr>
                <w:rFonts w:ascii="Times New Roman" w:hAnsi="Times New Roman" w:cs="Times New Roman"/>
                <w:lang w:val="en-GB"/>
              </w:rPr>
              <w:t xml:space="preserve"> Banja </w:t>
            </w:r>
          </w:p>
        </w:tc>
        <w:tc>
          <w:tcPr>
            <w:tcW w:w="2409"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Association of Serbian Banks</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VAT fraud seminar </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31.5 – 3.6.2022, </w:t>
            </w:r>
            <w:proofErr w:type="spellStart"/>
            <w:r w:rsidRPr="000E6FA4">
              <w:rPr>
                <w:rFonts w:ascii="Times New Roman" w:hAnsi="Times New Roman" w:cs="Times New Roman"/>
                <w:lang w:val="en-GB"/>
              </w:rPr>
              <w:t>Vršac</w:t>
            </w:r>
            <w:proofErr w:type="spellEnd"/>
            <w:r w:rsidRPr="000E6FA4">
              <w:rPr>
                <w:rFonts w:ascii="Times New Roman" w:hAnsi="Times New Roman" w:cs="Times New Roman"/>
                <w:lang w:val="en-GB"/>
              </w:rPr>
              <w:t xml:space="preserve">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US Embassy, Belgrade</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AML Training</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6-9.6.2022, </w:t>
            </w:r>
            <w:proofErr w:type="spellStart"/>
            <w:r w:rsidRPr="000E6FA4">
              <w:rPr>
                <w:rFonts w:ascii="Times New Roman" w:hAnsi="Times New Roman" w:cs="Times New Roman"/>
                <w:lang w:val="en-GB"/>
              </w:rPr>
              <w:t>Vrdnik</w:t>
            </w:r>
            <w:proofErr w:type="spellEnd"/>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US Embassy, Belgrade</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Targeting proceeds from crime on the internet and electronic evidence</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16.6.2022, online</w:t>
            </w:r>
          </w:p>
        </w:tc>
        <w:tc>
          <w:tcPr>
            <w:tcW w:w="2409" w:type="dxa"/>
          </w:tcPr>
          <w:p w:rsidR="00BB1174" w:rsidRPr="00287427" w:rsidRDefault="00BB1174" w:rsidP="00287427">
            <w:pPr>
              <w:jc w:val="left"/>
              <w:rPr>
                <w:rFonts w:ascii="Times New Roman" w:hAnsi="Times New Roman" w:cs="Times New Roman"/>
                <w:lang w:val="en-GB"/>
              </w:rPr>
            </w:pPr>
            <w:proofErr w:type="spellStart"/>
            <w:r w:rsidRPr="00287427">
              <w:rPr>
                <w:rFonts w:ascii="Times New Roman" w:hAnsi="Times New Roman" w:cs="Times New Roman"/>
                <w:i/>
                <w:lang w:val="en-GB"/>
              </w:rPr>
              <w:t>iProceeds</w:t>
            </w:r>
            <w:proofErr w:type="spellEnd"/>
            <w:r w:rsidRPr="000E6FA4">
              <w:rPr>
                <w:rFonts w:ascii="Times New Roman" w:hAnsi="Times New Roman" w:cs="Times New Roman"/>
                <w:lang w:val="en-GB"/>
              </w:rPr>
              <w:t xml:space="preserve"> Project</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ML and TF </w:t>
            </w:r>
            <w:proofErr w:type="spellStart"/>
            <w:r w:rsidRPr="00287427">
              <w:rPr>
                <w:rFonts w:ascii="Times New Roman" w:hAnsi="Times New Roman" w:cs="Times New Roman"/>
                <w:lang w:val="en-GB"/>
              </w:rPr>
              <w:t>modi</w:t>
            </w:r>
            <w:proofErr w:type="spellEnd"/>
            <w:r w:rsidRPr="00287427">
              <w:rPr>
                <w:rFonts w:ascii="Times New Roman" w:hAnsi="Times New Roman" w:cs="Times New Roman"/>
                <w:lang w:val="en-GB"/>
              </w:rPr>
              <w:t xml:space="preserve"> operandi </w:t>
            </w:r>
            <w:r w:rsidRPr="000E6FA4">
              <w:rPr>
                <w:rFonts w:ascii="Times New Roman" w:hAnsi="Times New Roman" w:cs="Times New Roman"/>
                <w:lang w:val="en-GB"/>
              </w:rPr>
              <w:t>using digital and financial technologies Specificities of evidential procedures through parallel financial investigations</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20-24.6.2022, online</w:t>
            </w:r>
          </w:p>
          <w:p w:rsidR="00BB1174" w:rsidRPr="000E6FA4" w:rsidRDefault="00BB1174" w:rsidP="00287427">
            <w:pPr>
              <w:jc w:val="left"/>
              <w:rPr>
                <w:rFonts w:ascii="Times New Roman" w:hAnsi="Times New Roman" w:cs="Times New Roman"/>
                <w:lang w:val="en-GB"/>
              </w:rPr>
            </w:pP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FIU Russian Federation</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AML/CFT system in Serbia</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20.6.2022 Nis, 21.6.2022 Belgrade</w:t>
            </w:r>
          </w:p>
        </w:tc>
        <w:tc>
          <w:tcPr>
            <w:tcW w:w="2409"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Serbian Chamber of Commerce and Industry</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Workshop for the expert team for developing the NRA in the real estate sector</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18-20.7.2022, </w:t>
            </w:r>
            <w:proofErr w:type="spellStart"/>
            <w:r w:rsidRPr="000E6FA4">
              <w:rPr>
                <w:rFonts w:ascii="Times New Roman" w:hAnsi="Times New Roman" w:cs="Times New Roman"/>
                <w:lang w:val="en-GB"/>
              </w:rPr>
              <w:t>Divčibare</w:t>
            </w:r>
            <w:proofErr w:type="spellEnd"/>
            <w:r w:rsidRPr="000E6FA4">
              <w:rPr>
                <w:rFonts w:ascii="Times New Roman" w:hAnsi="Times New Roman" w:cs="Times New Roman"/>
                <w:lang w:val="en-GB"/>
              </w:rPr>
              <w:t xml:space="preserve"> </w:t>
            </w:r>
          </w:p>
        </w:tc>
        <w:tc>
          <w:tcPr>
            <w:tcW w:w="2409"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 xml:space="preserve">Council of Europe </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Presentation of new functionalities in </w:t>
            </w:r>
            <w:proofErr w:type="spellStart"/>
            <w:r w:rsidRPr="000E6FA4">
              <w:rPr>
                <w:rFonts w:ascii="Times New Roman" w:hAnsi="Times New Roman" w:cs="Times New Roman"/>
                <w:lang w:val="en-GB"/>
              </w:rPr>
              <w:t>Orbis</w:t>
            </w:r>
            <w:proofErr w:type="spellEnd"/>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15-16.9.2022, online</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APML, Bureau van </w:t>
            </w:r>
            <w:proofErr w:type="spellStart"/>
            <w:r w:rsidRPr="000E6FA4">
              <w:rPr>
                <w:rFonts w:ascii="Times New Roman" w:hAnsi="Times New Roman" w:cs="Times New Roman"/>
                <w:lang w:val="en-GB"/>
              </w:rPr>
              <w:t>Dijk</w:t>
            </w:r>
            <w:proofErr w:type="spellEnd"/>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Cooperation between authorities and private sector in suppressing cybercrime</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16.9.2022, online </w:t>
            </w:r>
          </w:p>
        </w:tc>
        <w:tc>
          <w:tcPr>
            <w:tcW w:w="2409" w:type="dxa"/>
          </w:tcPr>
          <w:p w:rsidR="00BB1174" w:rsidRPr="000E6FA4" w:rsidRDefault="00BB1174" w:rsidP="00287427">
            <w:pPr>
              <w:jc w:val="left"/>
              <w:rPr>
                <w:rFonts w:ascii="Times New Roman" w:hAnsi="Times New Roman" w:cs="Times New Roman"/>
                <w:lang w:val="en-GB"/>
              </w:rPr>
            </w:pPr>
            <w:proofErr w:type="spellStart"/>
            <w:r w:rsidRPr="00287427">
              <w:rPr>
                <w:rFonts w:ascii="Times New Roman" w:hAnsi="Times New Roman" w:cs="Times New Roman"/>
                <w:i/>
                <w:lang w:val="en-GB"/>
              </w:rPr>
              <w:t>iProceeds</w:t>
            </w:r>
            <w:proofErr w:type="spellEnd"/>
            <w:r w:rsidRPr="000E6FA4">
              <w:rPr>
                <w:rFonts w:ascii="Times New Roman" w:hAnsi="Times New Roman" w:cs="Times New Roman"/>
                <w:lang w:val="en-GB"/>
              </w:rPr>
              <w:t xml:space="preserve"> Project</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Counter Terrorist Financing </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19-23.9.2022, Prague, Czech Republic</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CEPOL</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287427"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National ML Risk Assessment - country risk implementation - effect on internal policies of investigative and judicial </w:t>
            </w:r>
            <w:r w:rsidR="00287427" w:rsidRPr="000E6FA4">
              <w:rPr>
                <w:rFonts w:ascii="Times New Roman" w:hAnsi="Times New Roman" w:cs="Times New Roman"/>
                <w:lang w:val="en-GB"/>
              </w:rPr>
              <w:t>authorities</w:t>
            </w:r>
            <w:r w:rsidRPr="000E6FA4">
              <w:rPr>
                <w:rFonts w:ascii="Times New Roman" w:hAnsi="Times New Roman" w:cs="Times New Roman"/>
                <w:lang w:val="en-GB"/>
              </w:rPr>
              <w:t xml:space="preserve"> in line with the risks found</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22-23.9.2022, </w:t>
            </w:r>
            <w:proofErr w:type="spellStart"/>
            <w:r w:rsidRPr="000E6FA4">
              <w:rPr>
                <w:rFonts w:ascii="Times New Roman" w:hAnsi="Times New Roman" w:cs="Times New Roman"/>
                <w:lang w:val="en-GB"/>
              </w:rPr>
              <w:t>Niš</w:t>
            </w:r>
            <w:proofErr w:type="spellEnd"/>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Council of Europe</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Cooperation and Information Sharing between Financial Intelligence Units, Law Enforcement Authorities and Prosecutors</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28.9.2022, online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EGMONT GROUP - ECOFEL</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287427"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National ML Risk Assessment - country risk implementation - effect on internal policies of investigative and judicial </w:t>
            </w:r>
            <w:r w:rsidR="00287427" w:rsidRPr="000E6FA4">
              <w:rPr>
                <w:rFonts w:ascii="Times New Roman" w:hAnsi="Times New Roman" w:cs="Times New Roman"/>
                <w:lang w:val="en-GB"/>
              </w:rPr>
              <w:t>authorities</w:t>
            </w:r>
            <w:r w:rsidRPr="000E6FA4">
              <w:rPr>
                <w:rFonts w:ascii="Times New Roman" w:hAnsi="Times New Roman" w:cs="Times New Roman"/>
                <w:lang w:val="en-GB"/>
              </w:rPr>
              <w:t xml:space="preserve"> in line with the risks found</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30.9.2022, Novi Sad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SCCI, Council of Europe (SIDA) AML/CFT Project</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287427" w:rsidRDefault="00BB1174" w:rsidP="00287427">
            <w:pPr>
              <w:jc w:val="left"/>
              <w:rPr>
                <w:rFonts w:ascii="Times New Roman" w:hAnsi="Times New Roman" w:cs="Times New Roman"/>
                <w:lang w:val="en-GB"/>
              </w:rPr>
            </w:pPr>
            <w:r w:rsidRPr="000E6FA4">
              <w:rPr>
                <w:rFonts w:ascii="Times New Roman" w:hAnsi="Times New Roman" w:cs="Times New Roman"/>
                <w:lang w:val="en-GB"/>
              </w:rPr>
              <w:t>AML system, APML competences, SAR analysis, case studies, TMIS</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4-5.10.2022, SCCI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SCCI, Association of Accountants and Auditors;  </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b/>
                <w:lang w:val="en-GB"/>
              </w:rPr>
            </w:pPr>
            <w:r w:rsidRPr="000E6FA4">
              <w:rPr>
                <w:rFonts w:ascii="Times New Roman" w:hAnsi="Times New Roman" w:cs="Times New Roman"/>
                <w:lang w:val="en-GB"/>
              </w:rPr>
              <w:t>AML system, APML competences, SAR analysis, case studies, TMIS</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11.10.2022, Serbian Chamber of Commerce and Industry (SCCI)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SCCI, Association of Accountants and Auditors; </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Conference on cooperation between customs authorities and FIUs</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12-13.10.2022, Budapest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WCO, FIU Hungary, ECOFEL</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Training and guidance for NPOs </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13-14.10.2022, Belgrade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К2 Integrity, Partners Serbia, American Bar Association</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b/>
                <w:lang w:val="en-GB"/>
              </w:rPr>
            </w:pPr>
            <w:r w:rsidRPr="000E6FA4">
              <w:rPr>
                <w:rFonts w:ascii="Times New Roman" w:hAnsi="Times New Roman" w:cs="Times New Roman"/>
                <w:lang w:val="en-GB"/>
              </w:rPr>
              <w:t>AML system, APML competences, SAR analysis, case studies, TMIS</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17.10.2022, Novi Sad </w:t>
            </w:r>
          </w:p>
          <w:p w:rsidR="00BB1174" w:rsidRPr="000E6FA4" w:rsidRDefault="00BB1174" w:rsidP="00287427">
            <w:pPr>
              <w:jc w:val="left"/>
              <w:rPr>
                <w:rFonts w:ascii="Times New Roman" w:hAnsi="Times New Roman" w:cs="Times New Roman"/>
                <w:lang w:val="en-GB"/>
              </w:rPr>
            </w:pPr>
          </w:p>
        </w:tc>
        <w:tc>
          <w:tcPr>
            <w:tcW w:w="2409"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 xml:space="preserve">Novi Sad Chamber of Commerce and Industry </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b/>
                <w:lang w:val="en-GB"/>
              </w:rPr>
            </w:pPr>
            <w:r w:rsidRPr="000E6FA4">
              <w:rPr>
                <w:rFonts w:ascii="Times New Roman" w:hAnsi="Times New Roman" w:cs="Times New Roman"/>
                <w:lang w:val="en-GB"/>
              </w:rPr>
              <w:t xml:space="preserve">National ML Risk Assessment - country risk implementation - effect on internal policies of investigative and judicial </w:t>
            </w:r>
            <w:r w:rsidR="00287427" w:rsidRPr="000E6FA4">
              <w:rPr>
                <w:rFonts w:ascii="Times New Roman" w:hAnsi="Times New Roman" w:cs="Times New Roman"/>
                <w:lang w:val="en-GB"/>
              </w:rPr>
              <w:t>authorities</w:t>
            </w:r>
            <w:r w:rsidRPr="000E6FA4">
              <w:rPr>
                <w:rFonts w:ascii="Times New Roman" w:hAnsi="Times New Roman" w:cs="Times New Roman"/>
                <w:lang w:val="en-GB"/>
              </w:rPr>
              <w:t xml:space="preserve"> in line with the risks found</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20.10.2022, </w:t>
            </w:r>
            <w:proofErr w:type="spellStart"/>
            <w:r w:rsidRPr="000E6FA4">
              <w:rPr>
                <w:rFonts w:ascii="Times New Roman" w:hAnsi="Times New Roman" w:cs="Times New Roman"/>
                <w:lang w:val="en-GB"/>
              </w:rPr>
              <w:t>Vrnjačka</w:t>
            </w:r>
            <w:proofErr w:type="spellEnd"/>
            <w:r w:rsidRPr="000E6FA4">
              <w:rPr>
                <w:rFonts w:ascii="Times New Roman" w:hAnsi="Times New Roman" w:cs="Times New Roman"/>
                <w:lang w:val="en-GB"/>
              </w:rPr>
              <w:t xml:space="preserve"> Banja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Council of Europe</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Implementation of NRA findings by obliged entities - NRA effect on internal policies of supervisors and obliged entities in line with the risks found</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21.10.2022, </w:t>
            </w:r>
            <w:proofErr w:type="spellStart"/>
            <w:r w:rsidRPr="000E6FA4">
              <w:rPr>
                <w:rFonts w:ascii="Times New Roman" w:hAnsi="Times New Roman" w:cs="Times New Roman"/>
                <w:lang w:val="en-GB"/>
              </w:rPr>
              <w:t>Kraljevo</w:t>
            </w:r>
            <w:proofErr w:type="spellEnd"/>
            <w:r w:rsidRPr="000E6FA4">
              <w:rPr>
                <w:rFonts w:ascii="Times New Roman" w:hAnsi="Times New Roman" w:cs="Times New Roman"/>
                <w:lang w:val="en-GB"/>
              </w:rPr>
              <w:t xml:space="preserve">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Council of Europe</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Prevention of business fraud</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20.10.2022, webinar</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ACFE</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b/>
                <w:lang w:val="en-GB"/>
              </w:rPr>
            </w:pPr>
            <w:r w:rsidRPr="000E6FA4">
              <w:rPr>
                <w:rFonts w:ascii="Times New Roman" w:hAnsi="Times New Roman" w:cs="Times New Roman"/>
                <w:lang w:val="en-GB"/>
              </w:rPr>
              <w:t>AML system, APML competences, SAR analysis, case studies, TMIS</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25.10.2022, Belgrade  </w:t>
            </w:r>
          </w:p>
          <w:p w:rsidR="00BB1174" w:rsidRPr="000E6FA4" w:rsidRDefault="00BB1174" w:rsidP="00287427">
            <w:pPr>
              <w:jc w:val="left"/>
              <w:rPr>
                <w:rFonts w:ascii="Times New Roman" w:hAnsi="Times New Roman" w:cs="Times New Roman"/>
                <w:lang w:val="en-GB"/>
              </w:rPr>
            </w:pPr>
          </w:p>
        </w:tc>
        <w:tc>
          <w:tcPr>
            <w:tcW w:w="2409"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 xml:space="preserve">Serbian Chamber of Commerce and Industry, </w:t>
            </w:r>
            <w:r w:rsidRPr="000E6FA4">
              <w:rPr>
                <w:rFonts w:ascii="Times New Roman" w:hAnsi="Times New Roman" w:cs="Times New Roman"/>
                <w:lang w:val="en-GB"/>
              </w:rPr>
              <w:lastRenderedPageBreak/>
              <w:t>Association of games of chance providers</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Money transfer, </w:t>
            </w:r>
            <w:proofErr w:type="spellStart"/>
            <w:r w:rsidRPr="00287427">
              <w:rPr>
                <w:rFonts w:ascii="Times New Roman" w:hAnsi="Times New Roman" w:cs="Times New Roman"/>
                <w:i/>
                <w:lang w:val="en-GB"/>
              </w:rPr>
              <w:t>hawala</w:t>
            </w:r>
            <w:proofErr w:type="spellEnd"/>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31.10-4.11.2022, Sarajevo, </w:t>
            </w:r>
            <w:proofErr w:type="spellStart"/>
            <w:r w:rsidRPr="000E6FA4">
              <w:rPr>
                <w:rFonts w:ascii="Times New Roman" w:hAnsi="Times New Roman" w:cs="Times New Roman"/>
                <w:lang w:val="en-GB"/>
              </w:rPr>
              <w:t>BiH</w:t>
            </w:r>
            <w:proofErr w:type="spellEnd"/>
            <w:r w:rsidRPr="000E6FA4">
              <w:rPr>
                <w:rFonts w:ascii="Times New Roman" w:hAnsi="Times New Roman" w:cs="Times New Roman"/>
                <w:lang w:val="en-GB"/>
              </w:rPr>
              <w:t xml:space="preserve">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UNODC</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Strategic and Practical Considerations of Conducting a Money Laundering Investigation</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31.10-4.11.2022, Vienna, Austria </w:t>
            </w:r>
          </w:p>
        </w:tc>
        <w:tc>
          <w:tcPr>
            <w:tcW w:w="2409"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JVI, IMF</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287427"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Analysis of job descriptions and drafting of regulations on internal organisation and systematisation of posts </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7-8.11.2022, Belgrade</w:t>
            </w:r>
          </w:p>
        </w:tc>
        <w:tc>
          <w:tcPr>
            <w:tcW w:w="2409"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NAPA</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b/>
                <w:lang w:val="en-GB"/>
              </w:rPr>
            </w:pPr>
            <w:r w:rsidRPr="000E6FA4">
              <w:rPr>
                <w:rFonts w:ascii="Times New Roman" w:hAnsi="Times New Roman" w:cs="Times New Roman"/>
                <w:lang w:val="en-GB"/>
              </w:rPr>
              <w:t>Comprehensive risk assessment at the level of the system</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24-25.11.2022, webinar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APML</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b/>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AML/CFT workshop for misdemeanour and commercial court judges</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29.11.2022, Belgrade</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GIZ</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Improvement of supervisors’ capacities to meet their AML/CFT tasks - cooperation between supervisors and prosecutors’ offices</w:t>
            </w:r>
          </w:p>
        </w:tc>
        <w:tc>
          <w:tcPr>
            <w:tcW w:w="2268"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30.11.2022, Belgrade</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OSCE</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lang w:val="en-GB"/>
              </w:rPr>
            </w:pPr>
          </w:p>
        </w:tc>
        <w:tc>
          <w:tcPr>
            <w:tcW w:w="3402" w:type="dxa"/>
          </w:tcPr>
          <w:p w:rsidR="00BB1174" w:rsidRPr="000E6FA4" w:rsidRDefault="00BB1174" w:rsidP="00287427">
            <w:pPr>
              <w:jc w:val="left"/>
              <w:rPr>
                <w:rFonts w:ascii="Times New Roman" w:hAnsi="Times New Roman" w:cs="Times New Roman"/>
                <w:b/>
                <w:lang w:val="en-GB"/>
              </w:rPr>
            </w:pPr>
            <w:r w:rsidRPr="000E6FA4">
              <w:rPr>
                <w:rFonts w:ascii="Times New Roman" w:hAnsi="Times New Roman" w:cs="Times New Roman"/>
                <w:lang w:val="en-GB"/>
              </w:rPr>
              <w:t>Comprehensive risk assessment at the level of the system</w:t>
            </w:r>
          </w:p>
        </w:tc>
        <w:tc>
          <w:tcPr>
            <w:tcW w:w="2268" w:type="dxa"/>
          </w:tcPr>
          <w:p w:rsidR="00BB1174" w:rsidRPr="000E6FA4" w:rsidRDefault="00BB1174" w:rsidP="00287427">
            <w:pPr>
              <w:pStyle w:val="ListParagraph"/>
              <w:ind w:left="0"/>
              <w:jc w:val="left"/>
              <w:rPr>
                <w:rFonts w:ascii="Times New Roman" w:hAnsi="Times New Roman" w:cs="Times New Roman"/>
                <w:lang w:val="en-GB"/>
              </w:rPr>
            </w:pPr>
            <w:r w:rsidRPr="000E6FA4">
              <w:rPr>
                <w:rFonts w:ascii="Times New Roman" w:hAnsi="Times New Roman" w:cs="Times New Roman"/>
                <w:lang w:val="en-GB"/>
              </w:rPr>
              <w:t xml:space="preserve">9.12.2022, webinar </w:t>
            </w: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APML</w:t>
            </w:r>
          </w:p>
        </w:tc>
      </w:tr>
      <w:tr w:rsidR="00BB1174" w:rsidRPr="000E6FA4" w:rsidTr="00287427">
        <w:trPr>
          <w:jc w:val="center"/>
        </w:trPr>
        <w:tc>
          <w:tcPr>
            <w:tcW w:w="1271" w:type="dxa"/>
          </w:tcPr>
          <w:p w:rsidR="00BB1174" w:rsidRPr="000E6FA4" w:rsidRDefault="00BB1174" w:rsidP="00287427">
            <w:pPr>
              <w:pStyle w:val="ListParagraph"/>
              <w:numPr>
                <w:ilvl w:val="0"/>
                <w:numId w:val="8"/>
              </w:numPr>
              <w:jc w:val="left"/>
              <w:rPr>
                <w:rFonts w:ascii="Times New Roman" w:hAnsi="Times New Roman" w:cs="Times New Roman"/>
                <w:lang w:val="en-GB"/>
              </w:rPr>
            </w:pPr>
          </w:p>
        </w:tc>
        <w:tc>
          <w:tcPr>
            <w:tcW w:w="3402"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LPA application training </w:t>
            </w:r>
          </w:p>
        </w:tc>
        <w:tc>
          <w:tcPr>
            <w:tcW w:w="2268"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12.12.2022, Belgrade  </w:t>
            </w:r>
          </w:p>
          <w:p w:rsidR="00BB1174" w:rsidRPr="000E6FA4" w:rsidRDefault="00BB1174" w:rsidP="00287427">
            <w:pPr>
              <w:jc w:val="left"/>
              <w:rPr>
                <w:rFonts w:ascii="Times New Roman" w:hAnsi="Times New Roman" w:cs="Times New Roman"/>
                <w:lang w:val="en-GB"/>
              </w:rPr>
            </w:pPr>
          </w:p>
        </w:tc>
        <w:tc>
          <w:tcPr>
            <w:tcW w:w="2409" w:type="dxa"/>
          </w:tcPr>
          <w:p w:rsidR="00BB1174" w:rsidRPr="000E6FA4" w:rsidRDefault="00BB1174" w:rsidP="00287427">
            <w:pPr>
              <w:jc w:val="left"/>
              <w:rPr>
                <w:rFonts w:ascii="Times New Roman" w:hAnsi="Times New Roman" w:cs="Times New Roman"/>
                <w:lang w:val="en-GB"/>
              </w:rPr>
            </w:pPr>
            <w:r w:rsidRPr="000E6FA4">
              <w:rPr>
                <w:rFonts w:ascii="Times New Roman" w:hAnsi="Times New Roman" w:cs="Times New Roman"/>
                <w:lang w:val="en-GB"/>
              </w:rPr>
              <w:t xml:space="preserve">APML, </w:t>
            </w:r>
            <w:proofErr w:type="spellStart"/>
            <w:r w:rsidRPr="000E6FA4">
              <w:rPr>
                <w:rFonts w:ascii="Times New Roman" w:hAnsi="Times New Roman" w:cs="Times New Roman"/>
                <w:lang w:val="en-GB"/>
              </w:rPr>
              <w:t>Mihailo</w:t>
            </w:r>
            <w:proofErr w:type="spellEnd"/>
            <w:r w:rsidRPr="000E6FA4">
              <w:rPr>
                <w:rFonts w:ascii="Times New Roman" w:hAnsi="Times New Roman" w:cs="Times New Roman"/>
                <w:lang w:val="en-GB"/>
              </w:rPr>
              <w:t xml:space="preserve"> Pupin Institute</w:t>
            </w:r>
          </w:p>
        </w:tc>
      </w:tr>
    </w:tbl>
    <w:p w:rsidR="00373331" w:rsidRPr="000E6FA4" w:rsidRDefault="00373331" w:rsidP="00A5325D">
      <w:pPr>
        <w:spacing w:line="240" w:lineRule="auto"/>
        <w:jc w:val="both"/>
        <w:rPr>
          <w:rFonts w:ascii="Times New Roman" w:hAnsi="Times New Roman" w:cs="Times New Roman"/>
          <w:sz w:val="24"/>
          <w:szCs w:val="24"/>
          <w:lang w:val="en-GB"/>
        </w:rPr>
      </w:pPr>
    </w:p>
    <w:sectPr w:rsidR="00373331" w:rsidRPr="000E6FA4" w:rsidSect="00D743FD">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E6" w:rsidRDefault="00BA4BE6" w:rsidP="00CD55D4">
      <w:pPr>
        <w:spacing w:after="0" w:line="240" w:lineRule="auto"/>
      </w:pPr>
      <w:r>
        <w:separator/>
      </w:r>
    </w:p>
  </w:endnote>
  <w:endnote w:type="continuationSeparator" w:id="0">
    <w:p w:rsidR="00BA4BE6" w:rsidRDefault="00BA4BE6" w:rsidP="00CD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176252"/>
      <w:docPartObj>
        <w:docPartGallery w:val="Page Numbers (Bottom of Page)"/>
        <w:docPartUnique/>
      </w:docPartObj>
    </w:sdtPr>
    <w:sdtEndPr>
      <w:rPr>
        <w:noProof/>
      </w:rPr>
    </w:sdtEndPr>
    <w:sdtContent>
      <w:p w:rsidR="00617275" w:rsidRDefault="00617275">
        <w:pPr>
          <w:pStyle w:val="Footer"/>
          <w:jc w:val="right"/>
        </w:pPr>
        <w:r>
          <w:rPr>
            <w:lang w:val="en-GB"/>
          </w:rPr>
          <w:fldChar w:fldCharType="begin"/>
        </w:r>
        <w:r>
          <w:rPr>
            <w:lang w:val="en-GB"/>
          </w:rPr>
          <w:instrText xml:space="preserve"> PAGE   \* MERGEFORMAT </w:instrText>
        </w:r>
        <w:r>
          <w:rPr>
            <w:lang w:val="en-GB"/>
          </w:rPr>
          <w:fldChar w:fldCharType="separate"/>
        </w:r>
        <w:r w:rsidR="00882988">
          <w:rPr>
            <w:noProof/>
            <w:lang w:val="en-GB"/>
          </w:rPr>
          <w:t>4</w:t>
        </w:r>
        <w:r>
          <w:rPr>
            <w:noProof/>
            <w:lang w:val="en-GB"/>
          </w:rPr>
          <w:fldChar w:fldCharType="end"/>
        </w:r>
      </w:p>
    </w:sdtContent>
  </w:sdt>
  <w:p w:rsidR="00617275" w:rsidRDefault="006172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E6" w:rsidRDefault="00BA4BE6" w:rsidP="00CD55D4">
      <w:pPr>
        <w:spacing w:after="0" w:line="240" w:lineRule="auto"/>
      </w:pPr>
      <w:r>
        <w:separator/>
      </w:r>
    </w:p>
  </w:footnote>
  <w:footnote w:type="continuationSeparator" w:id="0">
    <w:p w:rsidR="00BA4BE6" w:rsidRDefault="00BA4BE6" w:rsidP="00CD55D4">
      <w:pPr>
        <w:spacing w:after="0" w:line="240" w:lineRule="auto"/>
      </w:pPr>
      <w:r>
        <w:continuationSeparator/>
      </w:r>
    </w:p>
  </w:footnote>
  <w:footnote w:id="1">
    <w:p w:rsidR="00617275" w:rsidRPr="00CD55D4" w:rsidRDefault="00617275">
      <w:pPr>
        <w:pStyle w:val="FootnoteText"/>
      </w:pPr>
      <w:r>
        <w:rPr>
          <w:rStyle w:val="FootnoteReference"/>
          <w:lang w:val="en-GB"/>
        </w:rPr>
        <w:footnoteRef/>
      </w:r>
      <w:r>
        <w:rPr>
          <w:lang w:val="en-GB"/>
        </w:rPr>
        <w:t xml:space="preserve"> </w:t>
      </w:r>
      <w:hyperlink r:id="rId1" w:history="1">
        <w:r>
          <w:rPr>
            <w:rStyle w:val="Hyperlink"/>
            <w:lang w:val="en-GB"/>
          </w:rPr>
          <w:t>https://www.pravno-informacioni-sistem.rs/SlGlasnikPortal/eli/rep/sgrs/vlada/odluka/2018/54/2/reg</w:t>
        </w:r>
      </w:hyperlink>
    </w:p>
  </w:footnote>
  <w:footnote w:id="2">
    <w:p w:rsidR="00617275" w:rsidRPr="00CD55D4" w:rsidRDefault="00617275">
      <w:pPr>
        <w:pStyle w:val="FootnoteText"/>
      </w:pPr>
      <w:r>
        <w:rPr>
          <w:rStyle w:val="FootnoteReference"/>
          <w:lang w:val="en-GB"/>
        </w:rPr>
        <w:footnoteRef/>
      </w:r>
      <w:r>
        <w:rPr>
          <w:lang w:val="en-GB"/>
        </w:rPr>
        <w:t xml:space="preserve"> </w:t>
      </w:r>
      <w:hyperlink r:id="rId2" w:history="1">
        <w:r>
          <w:rPr>
            <w:rStyle w:val="Hyperlink"/>
            <w:lang w:val="en-GB"/>
          </w:rPr>
          <w:t>https://www.pravno-informacioni-sistem.rs/SlGlasnikPortal/eli/rep/sgrs/vlada/drugiakt/2022/40/1</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49E"/>
    <w:multiLevelType w:val="hybridMultilevel"/>
    <w:tmpl w:val="7EEA5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4A44"/>
    <w:multiLevelType w:val="hybridMultilevel"/>
    <w:tmpl w:val="048841DA"/>
    <w:lvl w:ilvl="0" w:tplc="B6A67D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A1DD2"/>
    <w:multiLevelType w:val="hybridMultilevel"/>
    <w:tmpl w:val="4CBC609C"/>
    <w:lvl w:ilvl="0" w:tplc="04090011">
      <w:start w:val="1"/>
      <w:numFmt w:val="decimal"/>
      <w:lvlText w:val="%1)"/>
      <w:lvlJc w:val="left"/>
      <w:pPr>
        <w:ind w:left="720" w:hanging="360"/>
      </w:pPr>
      <w:rPr>
        <w:rFonts w:hint="default"/>
      </w:rPr>
    </w:lvl>
    <w:lvl w:ilvl="1" w:tplc="9DC4EFE2">
      <w:start w:val="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A7FC1"/>
    <w:multiLevelType w:val="hybridMultilevel"/>
    <w:tmpl w:val="C39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D350C"/>
    <w:multiLevelType w:val="hybridMultilevel"/>
    <w:tmpl w:val="3D7E9F82"/>
    <w:lvl w:ilvl="0" w:tplc="04090001">
      <w:start w:val="1"/>
      <w:numFmt w:val="bullet"/>
      <w:lvlText w:val=""/>
      <w:lvlJc w:val="left"/>
      <w:pPr>
        <w:ind w:left="720" w:hanging="360"/>
      </w:pPr>
      <w:rPr>
        <w:rFonts w:ascii="Symbol" w:hAnsi="Symbol" w:hint="default"/>
      </w:rPr>
    </w:lvl>
    <w:lvl w:ilvl="1" w:tplc="9DC4EFE2">
      <w:start w:val="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37A3D"/>
    <w:multiLevelType w:val="hybridMultilevel"/>
    <w:tmpl w:val="88C46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30D5A"/>
    <w:multiLevelType w:val="hybridMultilevel"/>
    <w:tmpl w:val="087CB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216FF1"/>
    <w:multiLevelType w:val="hybridMultilevel"/>
    <w:tmpl w:val="8DAA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D"/>
    <w:rsid w:val="00003686"/>
    <w:rsid w:val="00046641"/>
    <w:rsid w:val="00047D4C"/>
    <w:rsid w:val="00062CFA"/>
    <w:rsid w:val="0008665C"/>
    <w:rsid w:val="00096E99"/>
    <w:rsid w:val="000B0A0A"/>
    <w:rsid w:val="000B4FE4"/>
    <w:rsid w:val="000C1EA4"/>
    <w:rsid w:val="000C3749"/>
    <w:rsid w:val="000E0CA5"/>
    <w:rsid w:val="000E6FA4"/>
    <w:rsid w:val="000F1322"/>
    <w:rsid w:val="00111FCB"/>
    <w:rsid w:val="00130E78"/>
    <w:rsid w:val="00136E38"/>
    <w:rsid w:val="001442EE"/>
    <w:rsid w:val="001534B7"/>
    <w:rsid w:val="0016199B"/>
    <w:rsid w:val="001A0D32"/>
    <w:rsid w:val="001A7694"/>
    <w:rsid w:val="001C056B"/>
    <w:rsid w:val="001D19ED"/>
    <w:rsid w:val="001D35D5"/>
    <w:rsid w:val="001D60C3"/>
    <w:rsid w:val="0020128C"/>
    <w:rsid w:val="00225BCE"/>
    <w:rsid w:val="0023221A"/>
    <w:rsid w:val="00240573"/>
    <w:rsid w:val="00241856"/>
    <w:rsid w:val="00245673"/>
    <w:rsid w:val="00246892"/>
    <w:rsid w:val="00247D35"/>
    <w:rsid w:val="00250F11"/>
    <w:rsid w:val="0025125D"/>
    <w:rsid w:val="002526A7"/>
    <w:rsid w:val="00253BC9"/>
    <w:rsid w:val="0026065F"/>
    <w:rsid w:val="002669A6"/>
    <w:rsid w:val="00266FFE"/>
    <w:rsid w:val="00272CFB"/>
    <w:rsid w:val="00276663"/>
    <w:rsid w:val="002776A7"/>
    <w:rsid w:val="00285A36"/>
    <w:rsid w:val="00287427"/>
    <w:rsid w:val="0029757B"/>
    <w:rsid w:val="002B3D8F"/>
    <w:rsid w:val="002C72D4"/>
    <w:rsid w:val="002F13C6"/>
    <w:rsid w:val="002F269F"/>
    <w:rsid w:val="002F4A70"/>
    <w:rsid w:val="0032359A"/>
    <w:rsid w:val="00331300"/>
    <w:rsid w:val="003649EC"/>
    <w:rsid w:val="00365832"/>
    <w:rsid w:val="00373331"/>
    <w:rsid w:val="003836A1"/>
    <w:rsid w:val="003A68F9"/>
    <w:rsid w:val="003B18C0"/>
    <w:rsid w:val="003E113B"/>
    <w:rsid w:val="003E4365"/>
    <w:rsid w:val="003F4125"/>
    <w:rsid w:val="003F537F"/>
    <w:rsid w:val="004047B8"/>
    <w:rsid w:val="004057B7"/>
    <w:rsid w:val="00413BD1"/>
    <w:rsid w:val="00415D39"/>
    <w:rsid w:val="00420568"/>
    <w:rsid w:val="0042222C"/>
    <w:rsid w:val="004472B3"/>
    <w:rsid w:val="00450237"/>
    <w:rsid w:val="004611B3"/>
    <w:rsid w:val="00490A1A"/>
    <w:rsid w:val="004A2BE4"/>
    <w:rsid w:val="004A4313"/>
    <w:rsid w:val="004C0002"/>
    <w:rsid w:val="004D4A7D"/>
    <w:rsid w:val="004F53A2"/>
    <w:rsid w:val="00504BA6"/>
    <w:rsid w:val="005145B3"/>
    <w:rsid w:val="00533097"/>
    <w:rsid w:val="00543629"/>
    <w:rsid w:val="005625D8"/>
    <w:rsid w:val="00573D06"/>
    <w:rsid w:val="0057623F"/>
    <w:rsid w:val="0058149A"/>
    <w:rsid w:val="005836CA"/>
    <w:rsid w:val="00583BC5"/>
    <w:rsid w:val="005B1640"/>
    <w:rsid w:val="005B3839"/>
    <w:rsid w:val="005B67C3"/>
    <w:rsid w:val="005C25FA"/>
    <w:rsid w:val="005E68FD"/>
    <w:rsid w:val="00602F74"/>
    <w:rsid w:val="00610C54"/>
    <w:rsid w:val="00615652"/>
    <w:rsid w:val="00617275"/>
    <w:rsid w:val="00646B0F"/>
    <w:rsid w:val="00670FA6"/>
    <w:rsid w:val="00675CB8"/>
    <w:rsid w:val="00686E38"/>
    <w:rsid w:val="00687324"/>
    <w:rsid w:val="006B51E7"/>
    <w:rsid w:val="006E3FD5"/>
    <w:rsid w:val="006F5379"/>
    <w:rsid w:val="00705497"/>
    <w:rsid w:val="007458EF"/>
    <w:rsid w:val="00747206"/>
    <w:rsid w:val="00781E14"/>
    <w:rsid w:val="00782685"/>
    <w:rsid w:val="00783990"/>
    <w:rsid w:val="007D0B6A"/>
    <w:rsid w:val="007F18E6"/>
    <w:rsid w:val="00800747"/>
    <w:rsid w:val="00812058"/>
    <w:rsid w:val="008164FF"/>
    <w:rsid w:val="00821F9F"/>
    <w:rsid w:val="00827605"/>
    <w:rsid w:val="00882988"/>
    <w:rsid w:val="00893791"/>
    <w:rsid w:val="00894062"/>
    <w:rsid w:val="008A7135"/>
    <w:rsid w:val="008B1E8A"/>
    <w:rsid w:val="008C3D59"/>
    <w:rsid w:val="008D09AB"/>
    <w:rsid w:val="008D38EA"/>
    <w:rsid w:val="008F7B4E"/>
    <w:rsid w:val="00904E12"/>
    <w:rsid w:val="00936BEE"/>
    <w:rsid w:val="00945E91"/>
    <w:rsid w:val="00993E7F"/>
    <w:rsid w:val="009E28F9"/>
    <w:rsid w:val="009E404F"/>
    <w:rsid w:val="009F0D6C"/>
    <w:rsid w:val="009F3E00"/>
    <w:rsid w:val="00A06B16"/>
    <w:rsid w:val="00A1494D"/>
    <w:rsid w:val="00A17911"/>
    <w:rsid w:val="00A25F18"/>
    <w:rsid w:val="00A36F74"/>
    <w:rsid w:val="00A37239"/>
    <w:rsid w:val="00A4226A"/>
    <w:rsid w:val="00A4643C"/>
    <w:rsid w:val="00A46902"/>
    <w:rsid w:val="00A5325D"/>
    <w:rsid w:val="00A657E0"/>
    <w:rsid w:val="00A85333"/>
    <w:rsid w:val="00A874E6"/>
    <w:rsid w:val="00AA6743"/>
    <w:rsid w:val="00AB4616"/>
    <w:rsid w:val="00AD3CBD"/>
    <w:rsid w:val="00AE2F2E"/>
    <w:rsid w:val="00AF5677"/>
    <w:rsid w:val="00AF71B5"/>
    <w:rsid w:val="00B04C2C"/>
    <w:rsid w:val="00B079D9"/>
    <w:rsid w:val="00B2555F"/>
    <w:rsid w:val="00B26D39"/>
    <w:rsid w:val="00B36979"/>
    <w:rsid w:val="00B44063"/>
    <w:rsid w:val="00B53299"/>
    <w:rsid w:val="00B76482"/>
    <w:rsid w:val="00B8318F"/>
    <w:rsid w:val="00BA4BE6"/>
    <w:rsid w:val="00BA78A0"/>
    <w:rsid w:val="00BB1174"/>
    <w:rsid w:val="00BD3430"/>
    <w:rsid w:val="00BE45B3"/>
    <w:rsid w:val="00BF0FB6"/>
    <w:rsid w:val="00C05B66"/>
    <w:rsid w:val="00C076C3"/>
    <w:rsid w:val="00C11CE4"/>
    <w:rsid w:val="00C139A0"/>
    <w:rsid w:val="00C1709B"/>
    <w:rsid w:val="00C431DB"/>
    <w:rsid w:val="00C560FE"/>
    <w:rsid w:val="00C7383E"/>
    <w:rsid w:val="00C83D40"/>
    <w:rsid w:val="00C87129"/>
    <w:rsid w:val="00C933A4"/>
    <w:rsid w:val="00C94948"/>
    <w:rsid w:val="00CA1B4D"/>
    <w:rsid w:val="00CB6F40"/>
    <w:rsid w:val="00CC7C2B"/>
    <w:rsid w:val="00CD2A5B"/>
    <w:rsid w:val="00CD43E6"/>
    <w:rsid w:val="00CD55D4"/>
    <w:rsid w:val="00CE7053"/>
    <w:rsid w:val="00D01D7F"/>
    <w:rsid w:val="00D40157"/>
    <w:rsid w:val="00D4230D"/>
    <w:rsid w:val="00D743FD"/>
    <w:rsid w:val="00D76171"/>
    <w:rsid w:val="00D86D0E"/>
    <w:rsid w:val="00D90F7A"/>
    <w:rsid w:val="00D92C90"/>
    <w:rsid w:val="00DA38FB"/>
    <w:rsid w:val="00DC2527"/>
    <w:rsid w:val="00DC6CEE"/>
    <w:rsid w:val="00DF4EE7"/>
    <w:rsid w:val="00E265B4"/>
    <w:rsid w:val="00E45F78"/>
    <w:rsid w:val="00E50CA8"/>
    <w:rsid w:val="00E53C5D"/>
    <w:rsid w:val="00E64744"/>
    <w:rsid w:val="00E73D32"/>
    <w:rsid w:val="00E769C2"/>
    <w:rsid w:val="00E77B01"/>
    <w:rsid w:val="00EB6444"/>
    <w:rsid w:val="00EC2B4D"/>
    <w:rsid w:val="00EC2C78"/>
    <w:rsid w:val="00EC36EB"/>
    <w:rsid w:val="00EC660D"/>
    <w:rsid w:val="00ED6AE1"/>
    <w:rsid w:val="00F12599"/>
    <w:rsid w:val="00F2402B"/>
    <w:rsid w:val="00F26892"/>
    <w:rsid w:val="00F4329E"/>
    <w:rsid w:val="00F50D68"/>
    <w:rsid w:val="00F5591E"/>
    <w:rsid w:val="00F925B9"/>
    <w:rsid w:val="00F978C1"/>
    <w:rsid w:val="00FA7E44"/>
    <w:rsid w:val="00FF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2F5B2D62-9A0A-4642-A4D2-B4577174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3430"/>
    <w:pPr>
      <w:keepNext/>
      <w:keepLines/>
      <w:spacing w:before="240" w:after="0" w:line="240"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D4230D"/>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1C056B"/>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379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v2-clan-left-1">
    <w:name w:val="v2-clan-left-1"/>
    <w:basedOn w:val="DefaultParagraphFont"/>
    <w:rsid w:val="008A7135"/>
  </w:style>
  <w:style w:type="character" w:styleId="Hyperlink">
    <w:name w:val="Hyperlink"/>
    <w:basedOn w:val="DefaultParagraphFont"/>
    <w:uiPriority w:val="99"/>
    <w:unhideWhenUsed/>
    <w:rsid w:val="00EC660D"/>
    <w:rPr>
      <w:color w:val="0563C1" w:themeColor="hyperlink"/>
      <w:u w:val="single"/>
    </w:rPr>
  </w:style>
  <w:style w:type="paragraph" w:styleId="ListParagraph">
    <w:name w:val="List Paragraph"/>
    <w:basedOn w:val="Normal"/>
    <w:uiPriority w:val="34"/>
    <w:qFormat/>
    <w:rsid w:val="00225BCE"/>
    <w:pPr>
      <w:ind w:left="720"/>
      <w:contextualSpacing/>
    </w:pPr>
  </w:style>
  <w:style w:type="paragraph" w:customStyle="1" w:styleId="doc-ti">
    <w:name w:val="doc-ti"/>
    <w:basedOn w:val="Normal"/>
    <w:rsid w:val="00225BC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D5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5D4"/>
    <w:rPr>
      <w:sz w:val="20"/>
      <w:szCs w:val="20"/>
    </w:rPr>
  </w:style>
  <w:style w:type="character" w:styleId="FootnoteReference">
    <w:name w:val="footnote reference"/>
    <w:basedOn w:val="DefaultParagraphFont"/>
    <w:uiPriority w:val="99"/>
    <w:semiHidden/>
    <w:unhideWhenUsed/>
    <w:rsid w:val="00CD55D4"/>
    <w:rPr>
      <w:vertAlign w:val="superscript"/>
    </w:rPr>
  </w:style>
  <w:style w:type="paragraph" w:styleId="NoSpacing">
    <w:name w:val="No Spacing"/>
    <w:link w:val="NoSpacingChar"/>
    <w:uiPriority w:val="1"/>
    <w:qFormat/>
    <w:rsid w:val="00A657E0"/>
    <w:pPr>
      <w:spacing w:after="0" w:line="240" w:lineRule="auto"/>
    </w:pPr>
  </w:style>
  <w:style w:type="paragraph" w:customStyle="1" w:styleId="Default">
    <w:name w:val="Default"/>
    <w:rsid w:val="005145B3"/>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rsid w:val="00C83D4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83D40"/>
    <w:rPr>
      <w:rFonts w:ascii="Courier New" w:eastAsia="Times New Roman" w:hAnsi="Courier New" w:cs="Courier New"/>
      <w:sz w:val="20"/>
      <w:szCs w:val="20"/>
    </w:rPr>
  </w:style>
  <w:style w:type="paragraph" w:styleId="Header">
    <w:name w:val="header"/>
    <w:basedOn w:val="Normal"/>
    <w:link w:val="HeaderChar"/>
    <w:uiPriority w:val="99"/>
    <w:unhideWhenUsed/>
    <w:rsid w:val="0056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5D8"/>
  </w:style>
  <w:style w:type="paragraph" w:styleId="Footer">
    <w:name w:val="footer"/>
    <w:basedOn w:val="Normal"/>
    <w:link w:val="FooterChar"/>
    <w:uiPriority w:val="99"/>
    <w:unhideWhenUsed/>
    <w:rsid w:val="0056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5D8"/>
  </w:style>
  <w:style w:type="character" w:customStyle="1" w:styleId="Heading1Char">
    <w:name w:val="Heading 1 Char"/>
    <w:basedOn w:val="DefaultParagraphFont"/>
    <w:link w:val="Heading1"/>
    <w:uiPriority w:val="9"/>
    <w:rsid w:val="00BD3430"/>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4230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C056B"/>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D4230D"/>
    <w:pPr>
      <w:outlineLvl w:val="9"/>
    </w:pPr>
  </w:style>
  <w:style w:type="paragraph" w:styleId="TOC1">
    <w:name w:val="toc 1"/>
    <w:basedOn w:val="Normal"/>
    <w:next w:val="Normal"/>
    <w:autoRedefine/>
    <w:uiPriority w:val="39"/>
    <w:unhideWhenUsed/>
    <w:rsid w:val="00D4230D"/>
    <w:pPr>
      <w:spacing w:after="100"/>
    </w:pPr>
  </w:style>
  <w:style w:type="paragraph" w:styleId="TOC2">
    <w:name w:val="toc 2"/>
    <w:basedOn w:val="Normal"/>
    <w:next w:val="Normal"/>
    <w:autoRedefine/>
    <w:uiPriority w:val="39"/>
    <w:unhideWhenUsed/>
    <w:rsid w:val="00D4230D"/>
    <w:pPr>
      <w:spacing w:after="100"/>
      <w:ind w:left="220"/>
    </w:pPr>
  </w:style>
  <w:style w:type="paragraph" w:styleId="TOC3">
    <w:name w:val="toc 3"/>
    <w:basedOn w:val="Normal"/>
    <w:next w:val="Normal"/>
    <w:autoRedefine/>
    <w:uiPriority w:val="39"/>
    <w:unhideWhenUsed/>
    <w:rsid w:val="00D4230D"/>
    <w:pPr>
      <w:spacing w:after="100"/>
      <w:ind w:left="440"/>
    </w:pPr>
  </w:style>
  <w:style w:type="paragraph" w:styleId="BodyText">
    <w:name w:val="Body Text"/>
    <w:basedOn w:val="Normal"/>
    <w:link w:val="BodyTextChar"/>
    <w:uiPriority w:val="1"/>
    <w:qFormat/>
    <w:rsid w:val="00B04C2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04C2C"/>
    <w:rPr>
      <w:rFonts w:ascii="Times New Roman" w:eastAsia="Times New Roman" w:hAnsi="Times New Roman" w:cs="Times New Roman"/>
      <w:sz w:val="24"/>
      <w:szCs w:val="24"/>
    </w:rPr>
  </w:style>
  <w:style w:type="table" w:styleId="TableGrid">
    <w:name w:val="Table Grid"/>
    <w:basedOn w:val="TableNormal"/>
    <w:uiPriority w:val="59"/>
    <w:rsid w:val="00BB117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nseQuote">
    <w:name w:val="Intense Quote"/>
    <w:basedOn w:val="Normal"/>
    <w:next w:val="Normal"/>
    <w:link w:val="IntenseQuoteChar"/>
    <w:uiPriority w:val="30"/>
    <w:qFormat/>
    <w:rsid w:val="004502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50237"/>
    <w:rPr>
      <w:i/>
      <w:iCs/>
      <w:color w:val="5B9BD5" w:themeColor="accent1"/>
    </w:rPr>
  </w:style>
  <w:style w:type="paragraph" w:styleId="Quote">
    <w:name w:val="Quote"/>
    <w:basedOn w:val="Normal"/>
    <w:next w:val="Normal"/>
    <w:link w:val="QuoteChar"/>
    <w:uiPriority w:val="29"/>
    <w:qFormat/>
    <w:rsid w:val="0045023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50237"/>
    <w:rPr>
      <w:i/>
      <w:iCs/>
      <w:color w:val="404040" w:themeColor="text1" w:themeTint="BF"/>
    </w:rPr>
  </w:style>
  <w:style w:type="character" w:styleId="Strong">
    <w:name w:val="Strong"/>
    <w:basedOn w:val="DefaultParagraphFont"/>
    <w:uiPriority w:val="22"/>
    <w:qFormat/>
    <w:rsid w:val="00450237"/>
    <w:rPr>
      <w:b/>
      <w:bCs/>
    </w:rPr>
  </w:style>
  <w:style w:type="character" w:styleId="Emphasis">
    <w:name w:val="Emphasis"/>
    <w:basedOn w:val="DefaultParagraphFont"/>
    <w:uiPriority w:val="20"/>
    <w:qFormat/>
    <w:rsid w:val="00450237"/>
    <w:rPr>
      <w:i/>
      <w:iCs/>
    </w:rPr>
  </w:style>
  <w:style w:type="character" w:styleId="SubtleEmphasis">
    <w:name w:val="Subtle Emphasis"/>
    <w:basedOn w:val="DefaultParagraphFont"/>
    <w:uiPriority w:val="19"/>
    <w:qFormat/>
    <w:rsid w:val="00450237"/>
    <w:rPr>
      <w:i/>
      <w:iCs/>
      <w:color w:val="404040" w:themeColor="text1" w:themeTint="BF"/>
    </w:rPr>
  </w:style>
  <w:style w:type="character" w:customStyle="1" w:styleId="NoSpacingChar">
    <w:name w:val="No Spacing Char"/>
    <w:link w:val="NoSpacing"/>
    <w:uiPriority w:val="1"/>
    <w:rsid w:val="00450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l.gov.rs/pretraga-strucnih-misljen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ravno-informacioni-sistem.rs/SlGlasnikPortal/eli/rep/sgrs/vlada/drugiakt/2022/40/1" TargetMode="External"/><Relationship Id="rId1" Type="http://schemas.openxmlformats.org/officeDocument/2006/relationships/hyperlink" Target="https://www.pravno-informacioni-sistem.rs/SlGlasnikPortal/eli/rep/sgrs/vlada/odluka/2018/54/2/re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pof_plan_rashodi%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I</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Sheet1!$G$8:$I$8</c:f>
              <c:strCache>
                <c:ptCount val="3"/>
                <c:pt idx="0">
                  <c:v>2020. godina</c:v>
                </c:pt>
                <c:pt idx="1">
                  <c:v>2021. godina</c:v>
                </c:pt>
                <c:pt idx="2">
                  <c:v>2022. godina</c:v>
                </c:pt>
              </c:strCache>
            </c:strRef>
          </c:cat>
          <c:val>
            <c:numRef>
              <c:f>Sheet1!$G$9:$I$9</c:f>
              <c:numCache>
                <c:formatCode>General</c:formatCode>
                <c:ptCount val="3"/>
                <c:pt idx="0">
                  <c:v>95.63</c:v>
                </c:pt>
                <c:pt idx="1">
                  <c:v>96.53</c:v>
                </c:pt>
                <c:pt idx="2">
                  <c:v>97.34</c:v>
                </c:pt>
              </c:numCache>
            </c:numRef>
          </c:val>
          <c:extLst>
            <c:ext xmlns:c16="http://schemas.microsoft.com/office/drawing/2014/chart" uri="{C3380CC4-5D6E-409C-BE32-E72D297353CC}">
              <c16:uniqueId val="{00000000-C6E5-41C6-86DE-655BFAB8017C}"/>
            </c:ext>
          </c:extLst>
        </c:ser>
        <c:dLbls>
          <c:dLblPos val="inEnd"/>
          <c:showLegendKey val="0"/>
          <c:showVal val="1"/>
          <c:showCatName val="0"/>
          <c:showSerName val="0"/>
          <c:showPercent val="0"/>
          <c:showBubbleSize val="0"/>
        </c:dLbls>
        <c:gapWidth val="41"/>
        <c:axId val="589613208"/>
        <c:axId val="589613536"/>
      </c:barChart>
      <c:catAx>
        <c:axId val="589613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589613536"/>
        <c:crosses val="autoZero"/>
        <c:auto val="1"/>
        <c:lblAlgn val="ctr"/>
        <c:lblOffset val="100"/>
        <c:noMultiLvlLbl val="0"/>
      </c:catAx>
      <c:valAx>
        <c:axId val="589613536"/>
        <c:scaling>
          <c:orientation val="minMax"/>
        </c:scaling>
        <c:delete val="1"/>
        <c:axPos val="l"/>
        <c:numFmt formatCode="General" sourceLinked="1"/>
        <c:majorTickMark val="none"/>
        <c:minorTickMark val="none"/>
        <c:tickLblPos val="nextTo"/>
        <c:crossAx val="58961320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0877-8183-4E9C-A02C-2733F70D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7912</Words>
  <Characters>45102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Jerosimic</dc:creator>
  <cp:keywords/>
  <dc:description/>
  <cp:lastModifiedBy>Katarina Pavlicic</cp:lastModifiedBy>
  <cp:revision>15</cp:revision>
  <dcterms:created xsi:type="dcterms:W3CDTF">2024-10-11T10:49:00Z</dcterms:created>
  <dcterms:modified xsi:type="dcterms:W3CDTF">2024-10-11T11:41:00Z</dcterms:modified>
</cp:coreProperties>
</file>